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05E2B" w14:textId="77777777" w:rsidR="000E4EFD" w:rsidRDefault="000E4EFD">
      <w:pPr>
        <w:pBdr>
          <w:top w:val="nil"/>
          <w:left w:val="nil"/>
          <w:bottom w:val="nil"/>
          <w:right w:val="nil"/>
          <w:between w:val="nil"/>
        </w:pBdr>
        <w:spacing w:line="240" w:lineRule="auto"/>
        <w:rPr>
          <w:b/>
          <w:bCs/>
          <w:color w:val="000000"/>
        </w:rPr>
      </w:pPr>
    </w:p>
    <w:p w14:paraId="35699893" w14:textId="77777777" w:rsidR="000E4EFD" w:rsidRDefault="00000000">
      <w:pPr>
        <w:pBdr>
          <w:top w:val="nil"/>
          <w:left w:val="nil"/>
          <w:bottom w:val="nil"/>
          <w:right w:val="nil"/>
          <w:between w:val="nil"/>
        </w:pBdr>
        <w:spacing w:line="240" w:lineRule="auto"/>
        <w:jc w:val="center"/>
        <w:rPr>
          <w:b/>
          <w:bCs/>
          <w:color w:val="000000"/>
        </w:rPr>
      </w:pPr>
      <w:commentRangeStart w:id="0"/>
      <w:r>
        <w:rPr>
          <w:b/>
          <w:bCs/>
          <w:color w:val="000000"/>
        </w:rPr>
        <w:t>HOW DO STRATEGIC HUMAN RESOURCE MANAGEMENT PRACTICES AND ARTIFICIAL INTELLIGENCE INTEGRATION SHAPE ORGANIZATIONAL PERFORMANCE IN THE HOSPITALITY AND TOURISM INDUSTRY?</w:t>
      </w:r>
      <w:commentRangeEnd w:id="0"/>
      <w:r w:rsidR="00FE2093">
        <w:rPr>
          <w:rStyle w:val="AklamaBavurusu"/>
          <w:b/>
          <w:bCs/>
          <w:color w:val="000000"/>
          <w:sz w:val="24"/>
          <w:szCs w:val="24"/>
        </w:rPr>
        <w:commentReference w:id="0"/>
      </w:r>
    </w:p>
    <w:p w14:paraId="760496A3" w14:textId="77777777" w:rsidR="000E4EFD" w:rsidRDefault="00000000">
      <w:pPr>
        <w:spacing w:after="0" w:line="240" w:lineRule="auto"/>
        <w:rPr>
          <w:b/>
          <w:bCs/>
        </w:rPr>
      </w:pPr>
      <w:r>
        <w:rPr>
          <w:b/>
          <w:bCs/>
        </w:rPr>
        <w:t xml:space="preserve">        </w:t>
      </w:r>
    </w:p>
    <w:p w14:paraId="2913E0EE" w14:textId="77777777" w:rsidR="000E4EFD" w:rsidRDefault="00000000">
      <w:pPr>
        <w:pBdr>
          <w:top w:val="nil"/>
          <w:left w:val="nil"/>
          <w:bottom w:val="nil"/>
          <w:right w:val="nil"/>
          <w:between w:val="nil"/>
        </w:pBdr>
        <w:spacing w:after="0" w:line="240" w:lineRule="auto"/>
        <w:jc w:val="center"/>
        <w:rPr>
          <w:color w:val="000000"/>
          <w:sz w:val="18"/>
          <w:szCs w:val="18"/>
        </w:rPr>
      </w:pPr>
      <w:commentRangeStart w:id="1"/>
      <w:r>
        <w:rPr>
          <w:color w:val="000000"/>
          <w:sz w:val="18"/>
          <w:szCs w:val="18"/>
        </w:rPr>
        <w:t>Received: XX.XX.202X, Accepted: XX.XX.202X</w:t>
      </w:r>
    </w:p>
    <w:p w14:paraId="7AA8CBB8" w14:textId="77777777" w:rsidR="000E4EFD" w:rsidRDefault="00000000">
      <w:pPr>
        <w:pBdr>
          <w:top w:val="nil"/>
          <w:left w:val="nil"/>
          <w:bottom w:val="nil"/>
          <w:right w:val="nil"/>
          <w:between w:val="nil"/>
        </w:pBdr>
        <w:spacing w:after="0" w:line="240" w:lineRule="auto"/>
        <w:jc w:val="center"/>
        <w:rPr>
          <w:color w:val="000000"/>
          <w:sz w:val="18"/>
          <w:szCs w:val="18"/>
        </w:rPr>
      </w:pPr>
      <w:r>
        <w:rPr>
          <w:color w:val="000000"/>
          <w:sz w:val="18"/>
          <w:szCs w:val="18"/>
        </w:rPr>
        <w:t>DOI Number: 10.5281/zenodo.XXXXXXX</w:t>
      </w:r>
      <w:commentRangeEnd w:id="1"/>
      <w:r w:rsidR="006448E3">
        <w:rPr>
          <w:rStyle w:val="AklamaBavurusu"/>
          <w:color w:val="000000"/>
          <w:sz w:val="18"/>
          <w:szCs w:val="18"/>
        </w:rPr>
        <w:commentReference w:id="1"/>
      </w:r>
    </w:p>
    <w:p w14:paraId="389C5A10" w14:textId="77777777" w:rsidR="000E4EFD" w:rsidRDefault="000E4EFD">
      <w:pPr>
        <w:jc w:val="center"/>
        <w:rPr>
          <w:b/>
          <w:bCs/>
        </w:rPr>
      </w:pPr>
    </w:p>
    <w:p w14:paraId="6137FA57" w14:textId="2E8ACCC4" w:rsidR="000E4EFD" w:rsidRDefault="00000000">
      <w:pPr>
        <w:ind w:firstLine="708"/>
        <w:rPr>
          <w:b/>
          <w:bCs/>
          <w:sz w:val="28"/>
          <w:szCs w:val="28"/>
        </w:rPr>
      </w:pPr>
      <w:commentRangeStart w:id="2"/>
      <w:r>
        <w:rPr>
          <w:b/>
          <w:bCs/>
          <w:sz w:val="28"/>
          <w:szCs w:val="28"/>
        </w:rPr>
        <w:t>Abstract</w:t>
      </w:r>
      <w:r w:rsidR="00FE2093">
        <w:rPr>
          <w:b/>
          <w:bCs/>
          <w:sz w:val="28"/>
          <w:szCs w:val="28"/>
        </w:rPr>
        <w:t xml:space="preserve"> </w:t>
      </w:r>
      <w:commentRangeEnd w:id="2"/>
      <w:r w:rsidR="00FE2093">
        <w:rPr>
          <w:rStyle w:val="AklamaBavurusu"/>
          <w:b/>
          <w:bCs/>
          <w:sz w:val="28"/>
          <w:szCs w:val="28"/>
        </w:rPr>
        <w:commentReference w:id="2"/>
      </w:r>
    </w:p>
    <w:p w14:paraId="3B8BD657" w14:textId="77777777" w:rsidR="000E4EFD" w:rsidRDefault="00000000">
      <w:pPr>
        <w:spacing w:after="120" w:line="240" w:lineRule="auto"/>
        <w:ind w:firstLine="709"/>
        <w:jc w:val="both"/>
      </w:pPr>
      <w:commentRangeStart w:id="3"/>
      <w:r>
        <w:t>This study explores the critical importance of Strategic Human Resources Management (SHRM) and planning in the tourism industry through an extensive literature review. The research methodology involves a comprehensive analysis of existing academic and industry sources, with a focus on understanding the relationship between SHRM practices and organizational performance in the tourism industry. The review emphasizes that SHRM plays a pivotal role in enhancing profitability, sustainability, and operational efficiency. By aligning human resource strategies with organizational goals, tourism businesses can gain a competitive advantage, achieve long-term stability, and improve overall performance. The literature also highlights the primary challenge of attracting and retaining skilled employees who possess the necessary expertise and mindset for success in the tourism industry. The study further explores the benefits of strategic HR planning, such as improved workforce alignment, optimized resource allocation, and enhanced adaptability to industry trends. Additionally, the research emphasizes the proactive nature of SHRM in preparing for potential disruptions, such as staff shortages or emergencies, ensuring organizational resilience and continuity of service. Furthermore, the research explores the integration of Artificial Intelligence as a strategic mechanism to modernize workforce management and optimize organizational efficiency. This study addresses the following research question: To what extent do Strategic Human Resource Management practices and Artificial Intelligence integration contribute to organizational performance and competitive advantage in the tourism industry? The results underscore that effective HR planning is essential for controlling labor costs, ensuring customer satisfaction, and maintaining profitability in this labor-intensive industry. Overall, the study concludes that SHRM is a cornerstone of sustainable growth and competitive success in the tourism industry.</w:t>
      </w:r>
      <w:commentRangeEnd w:id="3"/>
      <w:r w:rsidR="0051375A">
        <w:rPr>
          <w:rStyle w:val="AklamaBavurusu"/>
          <w:sz w:val="24"/>
          <w:szCs w:val="24"/>
        </w:rPr>
        <w:commentReference w:id="3"/>
      </w:r>
    </w:p>
    <w:p w14:paraId="7EAA8F4F" w14:textId="77777777" w:rsidR="000E4EFD" w:rsidRDefault="00000000">
      <w:pPr>
        <w:jc w:val="both"/>
      </w:pPr>
      <w:commentRangeStart w:id="4"/>
      <w:r>
        <w:rPr>
          <w:b/>
          <w:bCs/>
        </w:rPr>
        <w:t>Key Words:</w:t>
      </w:r>
      <w:r>
        <w:t xml:space="preserve"> Strategy, Human Resources, Artificial Intelligence </w:t>
      </w:r>
    </w:p>
    <w:p w14:paraId="7048C361" w14:textId="77777777" w:rsidR="000E4EFD" w:rsidRDefault="00000000">
      <w:pPr>
        <w:jc w:val="both"/>
      </w:pPr>
      <w:r>
        <w:rPr>
          <w:b/>
          <w:bCs/>
        </w:rPr>
        <w:t>JEL Codes:</w:t>
      </w:r>
      <w:r>
        <w:t xml:space="preserve"> M12, M15, L83</w:t>
      </w:r>
      <w:commentRangeEnd w:id="4"/>
      <w:r w:rsidR="0051375A">
        <w:rPr>
          <w:rStyle w:val="AklamaBavurusu"/>
          <w:sz w:val="24"/>
          <w:szCs w:val="24"/>
        </w:rPr>
        <w:commentReference w:id="4"/>
      </w:r>
    </w:p>
    <w:p w14:paraId="327C5FD8" w14:textId="77777777" w:rsidR="000E4EFD" w:rsidRDefault="00000000">
      <w:pPr>
        <w:numPr>
          <w:ilvl w:val="0"/>
          <w:numId w:val="1"/>
        </w:numPr>
        <w:pBdr>
          <w:top w:val="nil"/>
          <w:left w:val="nil"/>
          <w:bottom w:val="nil"/>
          <w:right w:val="nil"/>
          <w:between w:val="nil"/>
        </w:pBdr>
        <w:rPr>
          <w:b/>
          <w:bCs/>
          <w:color w:val="000000"/>
          <w:sz w:val="28"/>
          <w:szCs w:val="28"/>
        </w:rPr>
      </w:pPr>
      <w:commentRangeStart w:id="5"/>
      <w:r>
        <w:rPr>
          <w:b/>
          <w:bCs/>
          <w:color w:val="000000"/>
          <w:sz w:val="28"/>
          <w:szCs w:val="28"/>
        </w:rPr>
        <w:t>Introduction</w:t>
      </w:r>
      <w:commentRangeEnd w:id="5"/>
      <w:r w:rsidR="0051375A">
        <w:rPr>
          <w:rStyle w:val="AklamaBavurusu"/>
          <w:b/>
          <w:bCs/>
          <w:color w:val="000000"/>
          <w:sz w:val="28"/>
          <w:szCs w:val="28"/>
        </w:rPr>
        <w:commentReference w:id="5"/>
      </w:r>
    </w:p>
    <w:p w14:paraId="6875A1D4" w14:textId="77777777" w:rsidR="000E4EFD" w:rsidRDefault="00000000">
      <w:pPr>
        <w:spacing w:after="120" w:line="240" w:lineRule="auto"/>
        <w:ind w:firstLine="709"/>
        <w:jc w:val="both"/>
      </w:pPr>
      <w:commentRangeStart w:id="6"/>
      <w:r>
        <w:t xml:space="preserve">Tourism stands as a highly vital and rapidly expanding global industry, where the operational success of enterprises is heavily contingent upon a proficient workforce (Ribeiro, Gonçalves and Guerra, 2020). The globalization of the tourism </w:t>
      </w:r>
      <w:r>
        <w:lastRenderedPageBreak/>
        <w:t xml:space="preserve">industry has positioned it as an indispensable economic pillar for countries that attract visitors (Costa, 2006). Furthermore, its status as a rapidly expanding economic sector makes tourism a major contributor to global job creation (UNWTO, 2020). </w:t>
      </w:r>
    </w:p>
    <w:p w14:paraId="03CE4359" w14:textId="77777777" w:rsidR="000E4EFD" w:rsidRDefault="00000000">
      <w:pPr>
        <w:spacing w:after="120" w:line="240" w:lineRule="auto"/>
        <w:ind w:firstLine="709"/>
        <w:jc w:val="both"/>
      </w:pPr>
      <w:r>
        <w:t>As a highly labor-dependent industry, labor costs constitute approximately 40% of overall expenses in tourism. To provide high-quality offerings at competitive rates, it is essential for tourism enterprises to effectively control their labor expenditures while simultaneously maintaining high levels of staff satisfaction (Demir, 2004).</w:t>
      </w:r>
    </w:p>
    <w:p w14:paraId="1AFA4E14" w14:textId="77777777" w:rsidR="000E4EFD" w:rsidRDefault="00000000">
      <w:pPr>
        <w:spacing w:after="120" w:line="240" w:lineRule="auto"/>
        <w:ind w:firstLine="709"/>
        <w:jc w:val="both"/>
      </w:pPr>
      <w:r>
        <w:t>The hospitality and tourism indusry significantly impacts the Gross Domestic Product (GDP) of numerous nations, leading virtually every country worldwide to provide strategic support for these industries (Baker, 2013). Numerous studies have identified a positive correlation between tourism growth and national economic performance in various regions, specifically highlighting cases in Mediterranean markets like Turkey, Cyprus, Italy, and Spain, as well as major economies like Germany and China (Burke, 2018).</w:t>
      </w:r>
    </w:p>
    <w:p w14:paraId="0F921735" w14:textId="77777777" w:rsidR="000E4EFD" w:rsidRDefault="00000000">
      <w:pPr>
        <w:spacing w:after="120" w:line="240" w:lineRule="auto"/>
        <w:ind w:firstLine="709"/>
        <w:jc w:val="both"/>
      </w:pPr>
      <w:r>
        <w:t>Strategic human resource management is vital for organizational success and remains a primary driver for sustaining a firm's competitive edge within the industry (Çetinel, Yolal and Emeksiz, 2008). The prosperity of tourism enterprises is fundamentally anchored in human capital; consequently, strategic operations such as recruitment, management, training, employee recognition, incentive mechanisms, and career advancement support are deemed vital (Ireland, 2005). Consequently, the strategic administration and continuous professional growth of the workforce are regarded as pivotal functions in determining the competitive success of tourism enterprises. Tourism enterprises catering to the luxury segment and high-end experiences prioritize staff empowerment, professional training, and comprehensive support systems as strategic tools to outperform their competitors (Baum, 2007).</w:t>
      </w:r>
    </w:p>
    <w:p w14:paraId="7290F9BC" w14:textId="77777777" w:rsidR="000E4EFD" w:rsidRDefault="00000000">
      <w:pPr>
        <w:spacing w:after="120" w:line="240" w:lineRule="auto"/>
        <w:ind w:firstLine="709"/>
        <w:jc w:val="both"/>
      </w:pPr>
      <w:r>
        <w:t>As the emphasis on quality within tourism service delivery intensifies, both service standards and the underlying human support have emerged as vital strategic assets for securing a competitive advantage. Consequently, mastering the intersection of human resource management and quality optimization is now recognized as a cornerstone for bolstering organizational excellence (Baum, 2012).</w:t>
      </w:r>
    </w:p>
    <w:p w14:paraId="3EC984F4" w14:textId="77777777" w:rsidR="000E4EFD" w:rsidRDefault="00000000">
      <w:pPr>
        <w:spacing w:after="120" w:line="240" w:lineRule="auto"/>
        <w:ind w:firstLine="709"/>
        <w:jc w:val="both"/>
      </w:pPr>
      <w:r>
        <w:t>Future organizational success in tourism depends on bridging the gap between skilled labor shortages and evolving guest expectations. As technological integration and shifting demographics redefine the sector, firms must prioritize digital training and the strategic retention of high-caliber talent (Burke, 2018).</w:t>
      </w:r>
    </w:p>
    <w:p w14:paraId="53FE4E98" w14:textId="77777777" w:rsidR="000E4EFD" w:rsidRDefault="00000000">
      <w:pPr>
        <w:spacing w:after="120" w:line="240" w:lineRule="auto"/>
        <w:ind w:firstLine="709"/>
        <w:jc w:val="both"/>
      </w:pPr>
      <w:r>
        <w:t xml:space="preserve">The traditional 'master-servant' paradigm, a relic of 20th-century management, has been superseded by a human-centric approach that views employees as strategic partners and vital organizational assets (Pelit and Katırcıoğlu, 2022). This philosophical evolution has redefined the modern workplace, positioning the workforce as indispensable stakeholders rather than mere subordinates.  </w:t>
      </w:r>
    </w:p>
    <w:p w14:paraId="26C2D9A1" w14:textId="6D92D469" w:rsidR="000E4EFD" w:rsidRDefault="00000000" w:rsidP="00E512F3">
      <w:pPr>
        <w:spacing w:after="120" w:line="240" w:lineRule="auto"/>
        <w:ind w:firstLine="709"/>
        <w:jc w:val="both"/>
      </w:pPr>
      <w:r>
        <w:lastRenderedPageBreak/>
        <w:t>Building upon this human-centric evolution, this study aims to provide a comprehensive framework of modern workforce management in the tourism industry. First, the study conceptualizes Strategic Human Resource Management (SHRM) and planning within the hospitality context. Subsequently, it evaluates high-performance HR practices and their impact on organizational performance. Finally, the study addresses the critical integration of Artificial Intelligence (AI) in HR processes, illustrating how technological advancements are reshaping talent acquisition, performance evaluation, and employee retention strategies.</w:t>
      </w:r>
      <w:commentRangeEnd w:id="6"/>
      <w:r w:rsidR="0051375A">
        <w:rPr>
          <w:rStyle w:val="AklamaBavurusu"/>
          <w:sz w:val="24"/>
          <w:szCs w:val="24"/>
        </w:rPr>
        <w:commentReference w:id="6"/>
      </w:r>
    </w:p>
    <w:p w14:paraId="4FC0F039" w14:textId="77777777" w:rsidR="00E512F3" w:rsidRPr="00E512F3" w:rsidRDefault="00E512F3" w:rsidP="00E512F3">
      <w:pPr>
        <w:spacing w:after="120" w:line="240" w:lineRule="auto"/>
        <w:ind w:firstLine="709"/>
        <w:jc w:val="both"/>
      </w:pPr>
    </w:p>
    <w:p w14:paraId="154E986D" w14:textId="033A5310" w:rsidR="00AA57A6" w:rsidRDefault="00E45CD3">
      <w:pPr>
        <w:rPr>
          <w:b/>
          <w:bCs/>
          <w:sz w:val="28"/>
          <w:szCs w:val="28"/>
        </w:rPr>
      </w:pPr>
      <w:r w:rsidRPr="00E45CD3">
        <w:rPr>
          <w:b/>
          <w:bCs/>
          <w:sz w:val="28"/>
          <w:szCs w:val="28"/>
        </w:rPr>
        <w:t xml:space="preserve">Figure </w:t>
      </w:r>
      <w:r>
        <w:rPr>
          <w:b/>
          <w:bCs/>
          <w:sz w:val="28"/>
          <w:szCs w:val="28"/>
        </w:rPr>
        <w:t xml:space="preserve">and Graph </w:t>
      </w:r>
      <w:r w:rsidR="00460399" w:rsidRPr="00460399">
        <w:rPr>
          <w:b/>
          <w:bCs/>
          <w:sz w:val="28"/>
          <w:szCs w:val="28"/>
        </w:rPr>
        <w:t>Example</w:t>
      </w:r>
    </w:p>
    <w:p w14:paraId="4CBDE64E" w14:textId="2527CA9C" w:rsidR="00AA57A6" w:rsidRPr="00AA57A6" w:rsidRDefault="00AA57A6">
      <w:pPr>
        <w:rPr>
          <w:b/>
          <w:bCs/>
        </w:rPr>
      </w:pPr>
      <w:commentRangeStart w:id="7"/>
      <w:r>
        <w:rPr>
          <w:b/>
          <w:bCs/>
        </w:rPr>
        <w:t xml:space="preserve">Graph 1. </w:t>
      </w:r>
      <w:r w:rsidRPr="00143231">
        <w:t>Mean Regression Slopes</w:t>
      </w:r>
      <w:commentRangeEnd w:id="7"/>
      <w:r w:rsidRPr="00AA57A6">
        <w:rPr>
          <w:rStyle w:val="AklamaBavurusu"/>
          <w:b/>
          <w:bCs/>
          <w:sz w:val="24"/>
          <w:szCs w:val="24"/>
        </w:rPr>
        <w:commentReference w:id="7"/>
      </w:r>
    </w:p>
    <w:p w14:paraId="4D1AEB13" w14:textId="4F7F2A3F" w:rsidR="00E45CD3" w:rsidRDefault="00E45CD3" w:rsidP="0051375A">
      <w:pPr>
        <w:spacing w:after="120" w:line="240" w:lineRule="auto"/>
        <w:jc w:val="both"/>
        <w:rPr>
          <w:b/>
          <w:bCs/>
          <w:sz w:val="28"/>
          <w:szCs w:val="28"/>
        </w:rPr>
      </w:pPr>
      <w:r>
        <w:rPr>
          <w:b/>
          <w:bCs/>
          <w:noProof/>
          <w:sz w:val="28"/>
          <w:szCs w:val="28"/>
        </w:rPr>
        <w:drawing>
          <wp:inline distT="0" distB="0" distL="0" distR="0" wp14:anchorId="5C848156" wp14:editId="6262A0E6">
            <wp:extent cx="5031740" cy="3356610"/>
            <wp:effectExtent l="0" t="0" r="0" b="0"/>
            <wp:docPr id="835469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31740" cy="3356610"/>
                    </a:xfrm>
                    <a:prstGeom prst="rect">
                      <a:avLst/>
                    </a:prstGeom>
                    <a:noFill/>
                    <a:ln>
                      <a:noFill/>
                    </a:ln>
                  </pic:spPr>
                </pic:pic>
              </a:graphicData>
            </a:graphic>
          </wp:inline>
        </w:drawing>
      </w:r>
    </w:p>
    <w:p w14:paraId="676E6E99" w14:textId="2F1C1EBC" w:rsidR="00E45CD3" w:rsidRPr="00E45CD3" w:rsidRDefault="00E45CD3" w:rsidP="00E45CD3">
      <w:pPr>
        <w:spacing w:after="120" w:line="240" w:lineRule="auto"/>
        <w:jc w:val="both"/>
      </w:pPr>
      <w:commentRangeStart w:id="8"/>
      <w:r w:rsidRPr="00E45CD3">
        <w:rPr>
          <w:b/>
          <w:bCs/>
        </w:rPr>
        <w:t xml:space="preserve">Source: </w:t>
      </w:r>
      <w:r w:rsidRPr="00E45CD3">
        <w:t>Authors</w:t>
      </w:r>
      <w:r w:rsidR="00143231">
        <w:t>’</w:t>
      </w:r>
      <w:r w:rsidRPr="00E45CD3">
        <w:t xml:space="preserve"> calculations.</w:t>
      </w:r>
      <w:commentRangeEnd w:id="8"/>
      <w:r w:rsidR="00AA57A6" w:rsidRPr="00E45CD3">
        <w:rPr>
          <w:rStyle w:val="AklamaBavurusu"/>
          <w:sz w:val="24"/>
          <w:szCs w:val="24"/>
        </w:rPr>
        <w:commentReference w:id="8"/>
      </w:r>
    </w:p>
    <w:p w14:paraId="5D122081" w14:textId="77777777" w:rsidR="00E45CD3" w:rsidRDefault="00E45CD3" w:rsidP="00E45CD3">
      <w:pPr>
        <w:spacing w:after="120" w:line="240" w:lineRule="auto"/>
        <w:jc w:val="both"/>
        <w:rPr>
          <w:b/>
          <w:bCs/>
          <w:sz w:val="28"/>
          <w:szCs w:val="28"/>
        </w:rPr>
      </w:pPr>
    </w:p>
    <w:p w14:paraId="4272D6A8" w14:textId="6AC0F08A" w:rsidR="0051375A" w:rsidRDefault="00E45CD3" w:rsidP="00E45CD3">
      <w:pPr>
        <w:spacing w:after="120" w:line="240" w:lineRule="auto"/>
        <w:jc w:val="both"/>
        <w:rPr>
          <w:b/>
          <w:bCs/>
          <w:sz w:val="28"/>
          <w:szCs w:val="28"/>
        </w:rPr>
      </w:pPr>
      <w:commentRangeStart w:id="9"/>
      <w:r>
        <w:rPr>
          <w:b/>
          <w:bCs/>
          <w:sz w:val="28"/>
          <w:szCs w:val="28"/>
        </w:rPr>
        <w:t xml:space="preserve">Table </w:t>
      </w:r>
      <w:commentRangeEnd w:id="9"/>
      <w:r w:rsidR="00460399" w:rsidRPr="00460399">
        <w:rPr>
          <w:rStyle w:val="AklamaBavurusu"/>
          <w:b/>
          <w:bCs/>
          <w:sz w:val="28"/>
          <w:szCs w:val="28"/>
        </w:rPr>
        <w:commentReference w:id="9"/>
      </w:r>
      <w:r w:rsidR="00460399" w:rsidRPr="00460399">
        <w:rPr>
          <w:b/>
          <w:bCs/>
          <w:sz w:val="28"/>
          <w:szCs w:val="28"/>
        </w:rPr>
        <w:t>Example</w:t>
      </w:r>
    </w:p>
    <w:p w14:paraId="6635C42B" w14:textId="270F3E00" w:rsidR="00E45CD3" w:rsidRPr="0051375A" w:rsidRDefault="00E45CD3" w:rsidP="0051375A">
      <w:pPr>
        <w:spacing w:after="120" w:line="240" w:lineRule="auto"/>
        <w:jc w:val="both"/>
        <w:rPr>
          <w:b/>
          <w:bCs/>
          <w:sz w:val="28"/>
          <w:szCs w:val="28"/>
        </w:rPr>
      </w:pPr>
    </w:p>
    <w:tbl>
      <w:tblPr>
        <w:tblStyle w:val="a"/>
        <w:tblW w:w="8010" w:type="dxa"/>
        <w:jc w:val="center"/>
        <w:tblInd w:w="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527"/>
        <w:gridCol w:w="1957"/>
        <w:gridCol w:w="1511"/>
        <w:gridCol w:w="1778"/>
        <w:gridCol w:w="1237"/>
      </w:tblGrid>
      <w:tr w:rsidR="000E4EFD" w14:paraId="777EB837" w14:textId="77777777" w:rsidTr="00FE260F">
        <w:trPr>
          <w:trHeight w:val="613"/>
          <w:jc w:val="center"/>
        </w:trPr>
        <w:tc>
          <w:tcPr>
            <w:tcW w:w="8010" w:type="dxa"/>
            <w:gridSpan w:val="5"/>
            <w:tcBorders>
              <w:top w:val="nil"/>
              <w:bottom w:val="single" w:sz="4" w:space="0" w:color="000000"/>
            </w:tcBorders>
          </w:tcPr>
          <w:p w14:paraId="7E32A206" w14:textId="77777777" w:rsidR="000E4EFD" w:rsidRDefault="00000000">
            <w:pPr>
              <w:spacing w:before="40" w:after="40"/>
              <w:jc w:val="center"/>
              <w:rPr>
                <w:b/>
                <w:bCs/>
                <w:sz w:val="20"/>
                <w:szCs w:val="20"/>
              </w:rPr>
            </w:pPr>
            <w:commentRangeStart w:id="10"/>
            <w:r>
              <w:rPr>
                <w:b/>
                <w:bCs/>
              </w:rPr>
              <w:t xml:space="preserve">Table 1. </w:t>
            </w:r>
            <w:r w:rsidRPr="00143231">
              <w:t>Artificial Intelligence Applications Across Strategic Human Resource Management Functions in Tourism: A Literature Synthesis</w:t>
            </w:r>
            <w:commentRangeEnd w:id="10"/>
            <w:r w:rsidR="0051375A">
              <w:rPr>
                <w:rStyle w:val="AklamaBavurusu"/>
                <w:b/>
                <w:bCs/>
                <w:sz w:val="20"/>
                <w:szCs w:val="20"/>
              </w:rPr>
              <w:commentReference w:id="10"/>
            </w:r>
          </w:p>
        </w:tc>
      </w:tr>
      <w:tr w:rsidR="000E4EFD" w14:paraId="1840F789" w14:textId="77777777" w:rsidTr="00E45CD3">
        <w:trPr>
          <w:trHeight w:val="524"/>
          <w:jc w:val="center"/>
        </w:trPr>
        <w:tc>
          <w:tcPr>
            <w:tcW w:w="1527" w:type="dxa"/>
            <w:tcBorders>
              <w:top w:val="single" w:sz="4" w:space="0" w:color="000000"/>
              <w:bottom w:val="single" w:sz="4" w:space="0" w:color="000000"/>
            </w:tcBorders>
          </w:tcPr>
          <w:p w14:paraId="536E0672" w14:textId="77777777" w:rsidR="000E4EFD" w:rsidRPr="0051375A" w:rsidRDefault="00000000">
            <w:pPr>
              <w:spacing w:before="40" w:after="40"/>
              <w:jc w:val="center"/>
              <w:rPr>
                <w:b/>
                <w:bCs/>
                <w:sz w:val="20"/>
                <w:szCs w:val="20"/>
              </w:rPr>
            </w:pPr>
            <w:commentRangeStart w:id="11"/>
            <w:r w:rsidRPr="0051375A">
              <w:rPr>
                <w:b/>
                <w:bCs/>
                <w:sz w:val="20"/>
                <w:szCs w:val="20"/>
              </w:rPr>
              <w:t>SHRM Function</w:t>
            </w:r>
          </w:p>
        </w:tc>
        <w:tc>
          <w:tcPr>
            <w:tcW w:w="1957" w:type="dxa"/>
            <w:tcBorders>
              <w:top w:val="single" w:sz="4" w:space="0" w:color="000000"/>
              <w:bottom w:val="single" w:sz="4" w:space="0" w:color="000000"/>
            </w:tcBorders>
          </w:tcPr>
          <w:p w14:paraId="3EFA35FB" w14:textId="77777777" w:rsidR="000E4EFD" w:rsidRPr="0051375A" w:rsidRDefault="00000000">
            <w:pPr>
              <w:spacing w:before="40" w:after="40"/>
              <w:jc w:val="center"/>
              <w:rPr>
                <w:b/>
                <w:bCs/>
                <w:sz w:val="20"/>
                <w:szCs w:val="20"/>
              </w:rPr>
            </w:pPr>
            <w:r w:rsidRPr="0051375A">
              <w:rPr>
                <w:b/>
                <w:bCs/>
                <w:sz w:val="20"/>
                <w:szCs w:val="20"/>
              </w:rPr>
              <w:t>AI Technology/Tool</w:t>
            </w:r>
          </w:p>
        </w:tc>
        <w:tc>
          <w:tcPr>
            <w:tcW w:w="1511" w:type="dxa"/>
            <w:tcBorders>
              <w:top w:val="single" w:sz="4" w:space="0" w:color="000000"/>
              <w:bottom w:val="single" w:sz="4" w:space="0" w:color="000000"/>
            </w:tcBorders>
          </w:tcPr>
          <w:p w14:paraId="1FF5AD9C" w14:textId="77777777" w:rsidR="000E4EFD" w:rsidRPr="0051375A" w:rsidRDefault="00000000">
            <w:pPr>
              <w:spacing w:before="40" w:after="40"/>
              <w:jc w:val="center"/>
              <w:rPr>
                <w:b/>
                <w:bCs/>
                <w:sz w:val="20"/>
                <w:szCs w:val="20"/>
              </w:rPr>
            </w:pPr>
            <w:r w:rsidRPr="0051375A">
              <w:rPr>
                <w:b/>
                <w:bCs/>
                <w:sz w:val="20"/>
                <w:szCs w:val="20"/>
              </w:rPr>
              <w:t>Cross-Sector Applications</w:t>
            </w:r>
          </w:p>
        </w:tc>
        <w:tc>
          <w:tcPr>
            <w:tcW w:w="1778" w:type="dxa"/>
            <w:tcBorders>
              <w:top w:val="single" w:sz="4" w:space="0" w:color="000000"/>
              <w:bottom w:val="single" w:sz="4" w:space="0" w:color="000000"/>
            </w:tcBorders>
          </w:tcPr>
          <w:p w14:paraId="2F1201D4" w14:textId="77777777" w:rsidR="000E4EFD" w:rsidRPr="0051375A" w:rsidRDefault="00000000">
            <w:pPr>
              <w:spacing w:before="40" w:after="40"/>
              <w:jc w:val="center"/>
              <w:rPr>
                <w:b/>
                <w:bCs/>
                <w:sz w:val="20"/>
                <w:szCs w:val="20"/>
              </w:rPr>
            </w:pPr>
            <w:r w:rsidRPr="0051375A">
              <w:rPr>
                <w:b/>
                <w:bCs/>
                <w:sz w:val="20"/>
                <w:szCs w:val="20"/>
              </w:rPr>
              <w:t>Reported Benefits</w:t>
            </w:r>
          </w:p>
        </w:tc>
        <w:tc>
          <w:tcPr>
            <w:tcW w:w="1237" w:type="dxa"/>
            <w:tcBorders>
              <w:top w:val="single" w:sz="4" w:space="0" w:color="000000"/>
              <w:bottom w:val="single" w:sz="4" w:space="0" w:color="000000"/>
            </w:tcBorders>
          </w:tcPr>
          <w:p w14:paraId="60DCF8C8" w14:textId="77777777" w:rsidR="000E4EFD" w:rsidRPr="0051375A" w:rsidRDefault="00000000">
            <w:pPr>
              <w:spacing w:before="40" w:after="40"/>
              <w:jc w:val="center"/>
              <w:rPr>
                <w:b/>
                <w:bCs/>
                <w:sz w:val="20"/>
                <w:szCs w:val="20"/>
              </w:rPr>
            </w:pPr>
            <w:r w:rsidRPr="0051375A">
              <w:rPr>
                <w:b/>
                <w:bCs/>
                <w:sz w:val="20"/>
                <w:szCs w:val="20"/>
              </w:rPr>
              <w:t>Source</w:t>
            </w:r>
            <w:commentRangeEnd w:id="11"/>
            <w:r w:rsidR="00E45CD3" w:rsidRPr="0051375A">
              <w:rPr>
                <w:rStyle w:val="AklamaBavurusu"/>
                <w:b/>
                <w:bCs/>
                <w:sz w:val="20"/>
                <w:szCs w:val="20"/>
              </w:rPr>
              <w:commentReference w:id="11"/>
            </w:r>
          </w:p>
        </w:tc>
      </w:tr>
      <w:tr w:rsidR="000E4EFD" w14:paraId="78C99964" w14:textId="77777777" w:rsidTr="00E45CD3">
        <w:trPr>
          <w:trHeight w:val="1152"/>
          <w:jc w:val="center"/>
        </w:trPr>
        <w:tc>
          <w:tcPr>
            <w:tcW w:w="1527" w:type="dxa"/>
            <w:tcBorders>
              <w:top w:val="single" w:sz="4" w:space="0" w:color="000000"/>
            </w:tcBorders>
          </w:tcPr>
          <w:p w14:paraId="0F65054F" w14:textId="77777777" w:rsidR="000E4EFD" w:rsidRDefault="00000000">
            <w:pPr>
              <w:spacing w:before="40" w:after="40"/>
              <w:jc w:val="center"/>
              <w:rPr>
                <w:sz w:val="20"/>
                <w:szCs w:val="20"/>
              </w:rPr>
            </w:pPr>
            <w:commentRangeStart w:id="12"/>
            <w:r>
              <w:rPr>
                <w:sz w:val="20"/>
                <w:szCs w:val="20"/>
              </w:rPr>
              <w:lastRenderedPageBreak/>
              <w:t>Recruitment &amp; Selection</w:t>
            </w:r>
          </w:p>
        </w:tc>
        <w:tc>
          <w:tcPr>
            <w:tcW w:w="1957" w:type="dxa"/>
            <w:tcBorders>
              <w:top w:val="single" w:sz="4" w:space="0" w:color="000000"/>
            </w:tcBorders>
          </w:tcPr>
          <w:p w14:paraId="31896691" w14:textId="77777777" w:rsidR="000E4EFD" w:rsidRDefault="00000000">
            <w:pPr>
              <w:spacing w:before="40" w:after="40"/>
              <w:jc w:val="center"/>
              <w:rPr>
                <w:sz w:val="20"/>
                <w:szCs w:val="20"/>
              </w:rPr>
            </w:pPr>
            <w:r>
              <w:rPr>
                <w:sz w:val="20"/>
                <w:szCs w:val="20"/>
              </w:rPr>
              <w:t>Video interview analysis with NLP</w:t>
            </w:r>
          </w:p>
        </w:tc>
        <w:tc>
          <w:tcPr>
            <w:tcW w:w="1511" w:type="dxa"/>
            <w:tcBorders>
              <w:top w:val="single" w:sz="4" w:space="0" w:color="000000"/>
            </w:tcBorders>
          </w:tcPr>
          <w:p w14:paraId="7F308B5C" w14:textId="77777777" w:rsidR="000E4EFD" w:rsidRDefault="00000000">
            <w:pPr>
              <w:spacing w:before="40" w:after="40"/>
              <w:jc w:val="center"/>
              <w:rPr>
                <w:sz w:val="20"/>
                <w:szCs w:val="20"/>
              </w:rPr>
            </w:pPr>
            <w:r>
              <w:rPr>
                <w:sz w:val="20"/>
                <w:szCs w:val="20"/>
              </w:rPr>
              <w:t>Automated facial &amp; speech screening</w:t>
            </w:r>
          </w:p>
        </w:tc>
        <w:tc>
          <w:tcPr>
            <w:tcW w:w="1778" w:type="dxa"/>
            <w:tcBorders>
              <w:top w:val="single" w:sz="4" w:space="0" w:color="000000"/>
            </w:tcBorders>
          </w:tcPr>
          <w:p w14:paraId="045F3B97" w14:textId="77777777" w:rsidR="000E4EFD" w:rsidRDefault="00000000">
            <w:pPr>
              <w:spacing w:before="40" w:after="40"/>
              <w:jc w:val="center"/>
              <w:rPr>
                <w:sz w:val="20"/>
                <w:szCs w:val="20"/>
              </w:rPr>
            </w:pPr>
            <w:r>
              <w:rPr>
                <w:sz w:val="20"/>
                <w:szCs w:val="20"/>
              </w:rPr>
              <w:t>90% reduction in time-to-fill</w:t>
            </w:r>
          </w:p>
        </w:tc>
        <w:tc>
          <w:tcPr>
            <w:tcW w:w="1237" w:type="dxa"/>
            <w:tcBorders>
              <w:top w:val="single" w:sz="4" w:space="0" w:color="000000"/>
            </w:tcBorders>
          </w:tcPr>
          <w:p w14:paraId="547DCA60" w14:textId="77777777" w:rsidR="000E4EFD" w:rsidRDefault="00000000">
            <w:pPr>
              <w:spacing w:before="40" w:after="40"/>
              <w:jc w:val="center"/>
              <w:rPr>
                <w:sz w:val="20"/>
                <w:szCs w:val="20"/>
              </w:rPr>
            </w:pPr>
            <w:r>
              <w:rPr>
                <w:sz w:val="20"/>
                <w:szCs w:val="20"/>
              </w:rPr>
              <w:t>Karaboğa &amp; Vardarler (2021)</w:t>
            </w:r>
            <w:commentRangeEnd w:id="12"/>
            <w:r w:rsidR="00E45CD3">
              <w:rPr>
                <w:rStyle w:val="AklamaBavurusu"/>
                <w:sz w:val="20"/>
                <w:szCs w:val="20"/>
              </w:rPr>
              <w:commentReference w:id="12"/>
            </w:r>
          </w:p>
        </w:tc>
      </w:tr>
      <w:tr w:rsidR="000E4EFD" w14:paraId="51F7984D" w14:textId="77777777" w:rsidTr="00E45CD3">
        <w:trPr>
          <w:trHeight w:val="750"/>
          <w:jc w:val="center"/>
        </w:trPr>
        <w:tc>
          <w:tcPr>
            <w:tcW w:w="1527" w:type="dxa"/>
          </w:tcPr>
          <w:p w14:paraId="690E8D55" w14:textId="77777777" w:rsidR="000E4EFD" w:rsidRDefault="00000000">
            <w:pPr>
              <w:spacing w:before="40" w:after="40"/>
              <w:jc w:val="center"/>
              <w:rPr>
                <w:sz w:val="20"/>
                <w:szCs w:val="20"/>
              </w:rPr>
            </w:pPr>
            <w:r>
              <w:rPr>
                <w:sz w:val="20"/>
                <w:szCs w:val="20"/>
              </w:rPr>
              <w:t>Recruitment &amp; Selection</w:t>
            </w:r>
          </w:p>
        </w:tc>
        <w:tc>
          <w:tcPr>
            <w:tcW w:w="1957" w:type="dxa"/>
          </w:tcPr>
          <w:p w14:paraId="6E50E765" w14:textId="77777777" w:rsidR="000E4EFD" w:rsidRDefault="00000000">
            <w:pPr>
              <w:spacing w:before="40" w:after="40"/>
              <w:jc w:val="center"/>
              <w:rPr>
                <w:sz w:val="20"/>
                <w:szCs w:val="20"/>
              </w:rPr>
            </w:pPr>
            <w:r>
              <w:rPr>
                <w:sz w:val="20"/>
                <w:szCs w:val="20"/>
              </w:rPr>
              <w:t>Machine learning algorithms</w:t>
            </w:r>
          </w:p>
        </w:tc>
        <w:tc>
          <w:tcPr>
            <w:tcW w:w="1511" w:type="dxa"/>
          </w:tcPr>
          <w:p w14:paraId="30C9EEA6" w14:textId="77777777" w:rsidR="000E4EFD" w:rsidRDefault="00000000">
            <w:pPr>
              <w:spacing w:before="40" w:after="40"/>
              <w:jc w:val="center"/>
              <w:rPr>
                <w:sz w:val="20"/>
                <w:szCs w:val="20"/>
              </w:rPr>
            </w:pPr>
            <w:r>
              <w:rPr>
                <w:sz w:val="20"/>
                <w:szCs w:val="20"/>
              </w:rPr>
              <w:t>Automated CV filtering &amp; ranking</w:t>
            </w:r>
          </w:p>
        </w:tc>
        <w:tc>
          <w:tcPr>
            <w:tcW w:w="1778" w:type="dxa"/>
          </w:tcPr>
          <w:p w14:paraId="4DD531F1" w14:textId="77777777" w:rsidR="000E4EFD" w:rsidRDefault="00000000">
            <w:pPr>
              <w:spacing w:before="40" w:after="40"/>
              <w:jc w:val="center"/>
              <w:rPr>
                <w:sz w:val="20"/>
                <w:szCs w:val="20"/>
              </w:rPr>
            </w:pPr>
            <w:r>
              <w:rPr>
                <w:sz w:val="20"/>
                <w:szCs w:val="20"/>
              </w:rPr>
              <w:t>Reduced bias &amp; high-speed processing</w:t>
            </w:r>
          </w:p>
        </w:tc>
        <w:tc>
          <w:tcPr>
            <w:tcW w:w="1237" w:type="dxa"/>
          </w:tcPr>
          <w:p w14:paraId="06E9CA03" w14:textId="77777777" w:rsidR="000E4EFD" w:rsidRDefault="00000000">
            <w:pPr>
              <w:spacing w:before="40" w:after="40"/>
              <w:jc w:val="center"/>
              <w:rPr>
                <w:sz w:val="20"/>
                <w:szCs w:val="20"/>
              </w:rPr>
            </w:pPr>
            <w:r>
              <w:rPr>
                <w:sz w:val="20"/>
                <w:szCs w:val="20"/>
              </w:rPr>
              <w:t>Rajesh et al. (2018)</w:t>
            </w:r>
          </w:p>
        </w:tc>
      </w:tr>
      <w:tr w:rsidR="000E4EFD" w14:paraId="424FCED8" w14:textId="77777777" w:rsidTr="00E45CD3">
        <w:trPr>
          <w:trHeight w:val="968"/>
          <w:jc w:val="center"/>
        </w:trPr>
        <w:tc>
          <w:tcPr>
            <w:tcW w:w="1527" w:type="dxa"/>
          </w:tcPr>
          <w:p w14:paraId="229A9931" w14:textId="77777777" w:rsidR="000E4EFD" w:rsidRDefault="00000000">
            <w:pPr>
              <w:spacing w:before="40" w:after="40"/>
              <w:jc w:val="center"/>
              <w:rPr>
                <w:sz w:val="20"/>
                <w:szCs w:val="20"/>
              </w:rPr>
            </w:pPr>
            <w:r>
              <w:rPr>
                <w:sz w:val="20"/>
                <w:szCs w:val="20"/>
              </w:rPr>
              <w:t>Recruitment &amp; Selection</w:t>
            </w:r>
          </w:p>
        </w:tc>
        <w:tc>
          <w:tcPr>
            <w:tcW w:w="1957" w:type="dxa"/>
          </w:tcPr>
          <w:p w14:paraId="1FF3B0C3" w14:textId="77777777" w:rsidR="000E4EFD" w:rsidRDefault="00000000">
            <w:pPr>
              <w:spacing w:before="40" w:after="40"/>
              <w:jc w:val="center"/>
              <w:rPr>
                <w:sz w:val="20"/>
                <w:szCs w:val="20"/>
              </w:rPr>
            </w:pPr>
            <w:r>
              <w:rPr>
                <w:sz w:val="20"/>
                <w:szCs w:val="20"/>
              </w:rPr>
              <w:t>AI chatbots</w:t>
            </w:r>
          </w:p>
        </w:tc>
        <w:tc>
          <w:tcPr>
            <w:tcW w:w="1511" w:type="dxa"/>
          </w:tcPr>
          <w:p w14:paraId="62D0F903" w14:textId="77777777" w:rsidR="000E4EFD" w:rsidRDefault="00000000">
            <w:pPr>
              <w:spacing w:before="40" w:after="40"/>
              <w:jc w:val="center"/>
              <w:rPr>
                <w:sz w:val="20"/>
                <w:szCs w:val="20"/>
              </w:rPr>
            </w:pPr>
            <w:r>
              <w:rPr>
                <w:sz w:val="20"/>
                <w:szCs w:val="20"/>
              </w:rPr>
              <w:t>Automated candidate responses and NLP screening</w:t>
            </w:r>
          </w:p>
        </w:tc>
        <w:tc>
          <w:tcPr>
            <w:tcW w:w="1778" w:type="dxa"/>
          </w:tcPr>
          <w:p w14:paraId="05EDCF92" w14:textId="77777777" w:rsidR="000E4EFD" w:rsidRDefault="00000000">
            <w:pPr>
              <w:spacing w:before="40" w:after="40"/>
              <w:jc w:val="center"/>
              <w:rPr>
                <w:sz w:val="20"/>
                <w:szCs w:val="20"/>
              </w:rPr>
            </w:pPr>
            <w:r>
              <w:rPr>
                <w:sz w:val="20"/>
                <w:szCs w:val="20"/>
              </w:rPr>
              <w:t>24/7 availability; improved candidate experience</w:t>
            </w:r>
          </w:p>
        </w:tc>
        <w:tc>
          <w:tcPr>
            <w:tcW w:w="1237" w:type="dxa"/>
          </w:tcPr>
          <w:p w14:paraId="0F40C199" w14:textId="77777777" w:rsidR="000E4EFD" w:rsidRDefault="00000000">
            <w:pPr>
              <w:spacing w:before="40" w:after="40"/>
              <w:jc w:val="center"/>
              <w:rPr>
                <w:sz w:val="20"/>
                <w:szCs w:val="20"/>
              </w:rPr>
            </w:pPr>
            <w:r>
              <w:rPr>
                <w:sz w:val="20"/>
                <w:szCs w:val="20"/>
              </w:rPr>
              <w:t>Majumder &amp; Mondal (2021)</w:t>
            </w:r>
          </w:p>
        </w:tc>
      </w:tr>
      <w:tr w:rsidR="000E4EFD" w14:paraId="53FBEA4F" w14:textId="77777777" w:rsidTr="00E45CD3">
        <w:trPr>
          <w:trHeight w:val="968"/>
          <w:jc w:val="center"/>
        </w:trPr>
        <w:tc>
          <w:tcPr>
            <w:tcW w:w="1527" w:type="dxa"/>
          </w:tcPr>
          <w:p w14:paraId="0ABEFA28" w14:textId="77777777" w:rsidR="000E4EFD" w:rsidRDefault="00000000">
            <w:pPr>
              <w:spacing w:before="40" w:after="40"/>
              <w:jc w:val="center"/>
              <w:rPr>
                <w:sz w:val="20"/>
                <w:szCs w:val="20"/>
              </w:rPr>
            </w:pPr>
            <w:r>
              <w:rPr>
                <w:sz w:val="20"/>
                <w:szCs w:val="20"/>
              </w:rPr>
              <w:t>Training &amp; Development</w:t>
            </w:r>
          </w:p>
        </w:tc>
        <w:tc>
          <w:tcPr>
            <w:tcW w:w="1957" w:type="dxa"/>
          </w:tcPr>
          <w:p w14:paraId="5B8F8129" w14:textId="77777777" w:rsidR="000E4EFD" w:rsidRDefault="00000000">
            <w:pPr>
              <w:spacing w:before="40" w:after="40"/>
              <w:jc w:val="center"/>
              <w:rPr>
                <w:sz w:val="20"/>
                <w:szCs w:val="20"/>
              </w:rPr>
            </w:pPr>
            <w:r>
              <w:rPr>
                <w:sz w:val="20"/>
                <w:szCs w:val="20"/>
              </w:rPr>
              <w:t>Natural Language Processing</w:t>
            </w:r>
          </w:p>
        </w:tc>
        <w:tc>
          <w:tcPr>
            <w:tcW w:w="1511" w:type="dxa"/>
          </w:tcPr>
          <w:p w14:paraId="2B5AD750" w14:textId="77777777" w:rsidR="000E4EFD" w:rsidRDefault="00000000">
            <w:pPr>
              <w:spacing w:before="40" w:after="40"/>
              <w:jc w:val="center"/>
              <w:rPr>
                <w:sz w:val="20"/>
                <w:szCs w:val="20"/>
              </w:rPr>
            </w:pPr>
            <w:r>
              <w:rPr>
                <w:sz w:val="20"/>
                <w:szCs w:val="20"/>
              </w:rPr>
              <w:t>Real-time transcription &amp; personalized learning</w:t>
            </w:r>
          </w:p>
        </w:tc>
        <w:tc>
          <w:tcPr>
            <w:tcW w:w="1778" w:type="dxa"/>
          </w:tcPr>
          <w:p w14:paraId="5702F499" w14:textId="77777777" w:rsidR="000E4EFD" w:rsidRDefault="00000000">
            <w:pPr>
              <w:spacing w:before="40" w:after="40"/>
              <w:jc w:val="center"/>
              <w:rPr>
                <w:sz w:val="20"/>
                <w:szCs w:val="20"/>
              </w:rPr>
            </w:pPr>
            <w:r>
              <w:rPr>
                <w:sz w:val="20"/>
                <w:szCs w:val="20"/>
              </w:rPr>
              <w:t>220,000-word dataset processed in 5 seconds vs. 5 hours manually</w:t>
            </w:r>
          </w:p>
        </w:tc>
        <w:tc>
          <w:tcPr>
            <w:tcW w:w="1237" w:type="dxa"/>
          </w:tcPr>
          <w:p w14:paraId="276E77F0" w14:textId="77777777" w:rsidR="000E4EFD" w:rsidRDefault="00000000">
            <w:pPr>
              <w:spacing w:before="40" w:after="40"/>
              <w:jc w:val="center"/>
              <w:rPr>
                <w:sz w:val="20"/>
                <w:szCs w:val="20"/>
              </w:rPr>
            </w:pPr>
            <w:r>
              <w:rPr>
                <w:sz w:val="20"/>
                <w:szCs w:val="20"/>
              </w:rPr>
              <w:t>Jia et al. (2018)</w:t>
            </w:r>
          </w:p>
        </w:tc>
      </w:tr>
      <w:tr w:rsidR="000E4EFD" w14:paraId="60D01BDB" w14:textId="77777777" w:rsidTr="00E45CD3">
        <w:trPr>
          <w:trHeight w:val="1194"/>
          <w:jc w:val="center"/>
        </w:trPr>
        <w:tc>
          <w:tcPr>
            <w:tcW w:w="1527" w:type="dxa"/>
          </w:tcPr>
          <w:p w14:paraId="0258B46A" w14:textId="77777777" w:rsidR="000E4EFD" w:rsidRDefault="00000000">
            <w:pPr>
              <w:spacing w:before="40" w:after="40"/>
              <w:jc w:val="center"/>
              <w:rPr>
                <w:sz w:val="20"/>
                <w:szCs w:val="20"/>
              </w:rPr>
            </w:pPr>
            <w:r>
              <w:rPr>
                <w:sz w:val="20"/>
                <w:szCs w:val="20"/>
              </w:rPr>
              <w:t>Training &amp; Development</w:t>
            </w:r>
          </w:p>
        </w:tc>
        <w:tc>
          <w:tcPr>
            <w:tcW w:w="1957" w:type="dxa"/>
          </w:tcPr>
          <w:p w14:paraId="200E0693" w14:textId="77777777" w:rsidR="000E4EFD" w:rsidRDefault="00000000">
            <w:pPr>
              <w:spacing w:before="40" w:after="40"/>
              <w:jc w:val="center"/>
              <w:rPr>
                <w:sz w:val="20"/>
                <w:szCs w:val="20"/>
              </w:rPr>
            </w:pPr>
            <w:r>
              <w:rPr>
                <w:sz w:val="20"/>
                <w:szCs w:val="20"/>
              </w:rPr>
              <w:t>Adaptive learning platforms</w:t>
            </w:r>
          </w:p>
        </w:tc>
        <w:tc>
          <w:tcPr>
            <w:tcW w:w="1511" w:type="dxa"/>
          </w:tcPr>
          <w:p w14:paraId="551EF47E" w14:textId="77777777" w:rsidR="000E4EFD" w:rsidRDefault="00000000">
            <w:pPr>
              <w:spacing w:before="40" w:after="40"/>
              <w:jc w:val="center"/>
              <w:rPr>
                <w:sz w:val="20"/>
                <w:szCs w:val="20"/>
              </w:rPr>
            </w:pPr>
            <w:r>
              <w:rPr>
                <w:sz w:val="20"/>
                <w:szCs w:val="20"/>
              </w:rPr>
              <w:t>Performance-based personalized training</w:t>
            </w:r>
          </w:p>
        </w:tc>
        <w:tc>
          <w:tcPr>
            <w:tcW w:w="1778" w:type="dxa"/>
          </w:tcPr>
          <w:p w14:paraId="1F96745F" w14:textId="77777777" w:rsidR="000E4EFD" w:rsidRDefault="00000000">
            <w:pPr>
              <w:spacing w:before="40" w:after="40"/>
              <w:jc w:val="center"/>
              <w:rPr>
                <w:sz w:val="20"/>
                <w:szCs w:val="20"/>
              </w:rPr>
            </w:pPr>
            <w:r>
              <w:rPr>
                <w:sz w:val="20"/>
                <w:szCs w:val="20"/>
              </w:rPr>
              <w:t>Enhanced employee commitment; targeted skill development</w:t>
            </w:r>
          </w:p>
        </w:tc>
        <w:tc>
          <w:tcPr>
            <w:tcW w:w="1237" w:type="dxa"/>
          </w:tcPr>
          <w:p w14:paraId="69FB17E2" w14:textId="77777777" w:rsidR="000E4EFD" w:rsidRDefault="00000000">
            <w:pPr>
              <w:spacing w:before="40" w:after="40"/>
              <w:jc w:val="center"/>
              <w:rPr>
                <w:sz w:val="20"/>
                <w:szCs w:val="20"/>
              </w:rPr>
            </w:pPr>
            <w:r>
              <w:rPr>
                <w:sz w:val="20"/>
                <w:szCs w:val="20"/>
              </w:rPr>
              <w:t>Tripathi et al. (2012)</w:t>
            </w:r>
          </w:p>
        </w:tc>
      </w:tr>
      <w:tr w:rsidR="000E4EFD" w14:paraId="08DAEA31" w14:textId="77777777" w:rsidTr="00FE260F">
        <w:trPr>
          <w:trHeight w:val="1408"/>
          <w:jc w:val="center"/>
        </w:trPr>
        <w:tc>
          <w:tcPr>
            <w:tcW w:w="8010" w:type="dxa"/>
            <w:gridSpan w:val="5"/>
            <w:tcBorders>
              <w:top w:val="single" w:sz="4" w:space="0" w:color="000000"/>
              <w:bottom w:val="nil"/>
            </w:tcBorders>
          </w:tcPr>
          <w:p w14:paraId="570FFA60" w14:textId="77777777" w:rsidR="000E4EFD" w:rsidRPr="00FE260F" w:rsidRDefault="00000000" w:rsidP="00FE260F">
            <w:pPr>
              <w:spacing w:before="40" w:after="40"/>
            </w:pPr>
            <w:commentRangeStart w:id="13"/>
            <w:r w:rsidRPr="00FE260F">
              <w:rPr>
                <w:b/>
                <w:bCs/>
              </w:rPr>
              <w:t>Note:</w:t>
            </w:r>
            <w:r w:rsidRPr="00FE260F">
              <w:t xml:space="preserve"> This synthesis categorizes AI applications reported in peer-reviewed literature (2012-2025). Benefits reflect findings from individual studies and may vary based on organizational context, implementation quality, and tourism sub-sector.</w:t>
            </w:r>
          </w:p>
          <w:p w14:paraId="4587E14C" w14:textId="0B392765" w:rsidR="00FE260F" w:rsidRPr="00FE260F" w:rsidRDefault="00FE260F" w:rsidP="00FE260F">
            <w:pPr>
              <w:spacing w:before="40" w:after="40"/>
              <w:rPr>
                <w:b/>
                <w:bCs/>
                <w:sz w:val="20"/>
                <w:szCs w:val="20"/>
              </w:rPr>
            </w:pPr>
            <w:r w:rsidRPr="00FE260F">
              <w:rPr>
                <w:b/>
                <w:bCs/>
              </w:rPr>
              <w:t xml:space="preserve">Source: </w:t>
            </w:r>
            <w:r w:rsidRPr="00FE260F">
              <w:t>Authors</w:t>
            </w:r>
            <w:r w:rsidR="00143231">
              <w:t>’</w:t>
            </w:r>
            <w:r w:rsidRPr="00FE260F">
              <w:t xml:space="preserve"> Calculations</w:t>
            </w:r>
            <w:commentRangeEnd w:id="13"/>
            <w:r w:rsidR="00E45CD3" w:rsidRPr="00FE260F">
              <w:rPr>
                <w:rStyle w:val="AklamaBavurusu"/>
                <w:b/>
                <w:bCs/>
                <w:sz w:val="20"/>
                <w:szCs w:val="20"/>
              </w:rPr>
              <w:commentReference w:id="13"/>
            </w:r>
          </w:p>
        </w:tc>
      </w:tr>
    </w:tbl>
    <w:p w14:paraId="51571B83" w14:textId="77777777" w:rsidR="000E4EFD" w:rsidRDefault="000E4EFD">
      <w:pPr>
        <w:jc w:val="both"/>
      </w:pPr>
    </w:p>
    <w:p w14:paraId="01E5DD14" w14:textId="6EB7A759" w:rsidR="00E45CD3" w:rsidRDefault="00E45CD3" w:rsidP="00E45CD3">
      <w:pPr>
        <w:pBdr>
          <w:top w:val="nil"/>
          <w:left w:val="nil"/>
          <w:bottom w:val="nil"/>
          <w:right w:val="nil"/>
          <w:between w:val="nil"/>
        </w:pBdr>
        <w:spacing w:before="240" w:after="120"/>
        <w:rPr>
          <w:b/>
          <w:bCs/>
          <w:color w:val="000000"/>
          <w:sz w:val="28"/>
          <w:szCs w:val="28"/>
        </w:rPr>
      </w:pPr>
      <w:r>
        <w:rPr>
          <w:b/>
          <w:bCs/>
          <w:color w:val="000000"/>
          <w:sz w:val="28"/>
          <w:szCs w:val="28"/>
        </w:rPr>
        <w:t>Equations and Long Quotations</w:t>
      </w:r>
      <w:r w:rsidR="00143231">
        <w:rPr>
          <w:b/>
          <w:bCs/>
          <w:color w:val="000000"/>
          <w:sz w:val="28"/>
          <w:szCs w:val="28"/>
        </w:rPr>
        <w:t xml:space="preserve"> </w:t>
      </w:r>
      <w:r w:rsidR="00460399" w:rsidRPr="00460399">
        <w:rPr>
          <w:b/>
          <w:bCs/>
          <w:color w:val="000000"/>
          <w:sz w:val="28"/>
          <w:szCs w:val="28"/>
        </w:rPr>
        <w:t>Example</w:t>
      </w:r>
    </w:p>
    <w:p w14:paraId="6F1E2FE8" w14:textId="77777777" w:rsidR="00E45CD3" w:rsidRDefault="00E45CD3">
      <w:pPr>
        <w:jc w:val="both"/>
      </w:pPr>
    </w:p>
    <w:p w14:paraId="2217907A" w14:textId="77777777" w:rsidR="00FE260F" w:rsidRPr="00E45CD3" w:rsidRDefault="00FE260F" w:rsidP="00E45CD3">
      <w:pPr>
        <w:spacing w:after="0" w:line="240" w:lineRule="auto"/>
        <w:ind w:firstLine="709"/>
        <w:jc w:val="both"/>
        <w:rPr>
          <w:lang w:val="en-US"/>
        </w:rPr>
      </w:pPr>
      <w:commentRangeStart w:id="14"/>
      <w:r w:rsidRPr="00E45CD3">
        <w:rPr>
          <w:lang w:val="en-US"/>
        </w:rPr>
        <w:t xml:space="preserve">Where: </w:t>
      </w:r>
    </w:p>
    <w:p w14:paraId="7D0E6F15" w14:textId="77777777" w:rsidR="00FE260F" w:rsidRPr="00E45CD3" w:rsidRDefault="00FE260F" w:rsidP="00E45CD3">
      <w:pPr>
        <w:spacing w:after="0" w:line="240" w:lineRule="auto"/>
        <w:ind w:firstLine="709"/>
        <w:jc w:val="both"/>
        <w:rPr>
          <w:lang w:val="en-US"/>
        </w:rPr>
      </w:pPr>
    </w:p>
    <w:p w14:paraId="2DC885DF" w14:textId="77777777" w:rsidR="00FE260F" w:rsidRPr="00E45CD3" w:rsidRDefault="00FE260F" w:rsidP="00E45CD3">
      <w:pPr>
        <w:spacing w:after="0" w:line="240" w:lineRule="auto"/>
        <w:ind w:firstLine="709"/>
        <w:jc w:val="both"/>
        <w:rPr>
          <w:lang w:val="en-US"/>
        </w:rPr>
      </w:pPr>
      <w:r w:rsidRPr="00E45CD3">
        <w:rPr>
          <w:lang w:val="en-US"/>
        </w:rPr>
        <w:t>*SI= matrix of the static structure of the units = matrix of variance and covariance of the average of the units to time.</w:t>
      </w:r>
    </w:p>
    <w:p w14:paraId="00C47EA1" w14:textId="77777777" w:rsidR="00FE260F" w:rsidRPr="00E45CD3" w:rsidRDefault="00FE260F" w:rsidP="00E45CD3">
      <w:pPr>
        <w:spacing w:after="0" w:line="240" w:lineRule="auto"/>
        <w:ind w:firstLine="709"/>
        <w:jc w:val="both"/>
        <w:rPr>
          <w:lang w:val="en-US"/>
        </w:rPr>
      </w:pPr>
    </w:p>
    <w:p w14:paraId="0D3A85F6" w14:textId="77777777" w:rsidR="00FE260F" w:rsidRPr="00E45CD3" w:rsidRDefault="00FE260F" w:rsidP="00E45CD3">
      <w:pPr>
        <w:spacing w:after="0" w:line="240" w:lineRule="auto"/>
        <w:ind w:firstLine="709"/>
        <w:jc w:val="both"/>
        <w:rPr>
          <w:lang w:val="en-US"/>
        </w:rPr>
      </w:pPr>
      <w:r w:rsidRPr="00E45CD3">
        <w:rPr>
          <w:lang w:val="en-US"/>
        </w:rPr>
        <w:t xml:space="preserve"> *ST= matrix of the average dynamic of the system = variance and covariance matrix of the average of the times. </w:t>
      </w:r>
    </w:p>
    <w:p w14:paraId="1931ECF0" w14:textId="77777777" w:rsidR="00FE260F" w:rsidRPr="00E45CD3" w:rsidRDefault="00FE260F" w:rsidP="00E45CD3">
      <w:pPr>
        <w:spacing w:after="0" w:line="240" w:lineRule="auto"/>
        <w:ind w:firstLine="709"/>
        <w:jc w:val="both"/>
        <w:rPr>
          <w:lang w:val="en-US"/>
        </w:rPr>
      </w:pPr>
    </w:p>
    <w:p w14:paraId="2B5B6581" w14:textId="77777777" w:rsidR="00FE260F" w:rsidRPr="00E45CD3" w:rsidRDefault="00FE260F" w:rsidP="00E45CD3">
      <w:pPr>
        <w:spacing w:after="0" w:line="240" w:lineRule="auto"/>
        <w:ind w:firstLine="709"/>
        <w:jc w:val="both"/>
        <w:rPr>
          <w:lang w:val="en-US"/>
        </w:rPr>
      </w:pPr>
      <w:r w:rsidRPr="00E45CD3">
        <w:rPr>
          <w:lang w:val="en-US"/>
        </w:rPr>
        <w:t xml:space="preserve">SIT= matrix of the differential dynamics of the single units = variance and covariance matrix of the interactions between units and times. </w:t>
      </w:r>
    </w:p>
    <w:p w14:paraId="6C51CB6F" w14:textId="77777777" w:rsidR="00FE260F" w:rsidRPr="00E45CD3" w:rsidRDefault="00FE260F" w:rsidP="00E45CD3">
      <w:pPr>
        <w:spacing w:after="0" w:line="240" w:lineRule="auto"/>
        <w:ind w:firstLine="709"/>
        <w:jc w:val="both"/>
        <w:rPr>
          <w:lang w:val="en-US"/>
        </w:rPr>
      </w:pPr>
      <w:r w:rsidRPr="00E45CD3">
        <w:rPr>
          <w:lang w:val="en-US"/>
        </w:rPr>
        <w:t>The three-factor version of the model can be represented as follows:</w:t>
      </w:r>
      <w:commentRangeEnd w:id="14"/>
      <w:r w:rsidR="00E45CD3" w:rsidRPr="00E45CD3">
        <w:rPr>
          <w:rStyle w:val="AklamaBavurusu"/>
          <w:sz w:val="24"/>
          <w:szCs w:val="24"/>
          <w:lang w:val="en-US"/>
        </w:rPr>
        <w:commentReference w:id="14"/>
      </w:r>
    </w:p>
    <w:p w14:paraId="18F6410C" w14:textId="77777777" w:rsidR="00FE260F" w:rsidRPr="00E45CD3" w:rsidRDefault="00FE260F" w:rsidP="00E45CD3">
      <w:pPr>
        <w:spacing w:after="0" w:line="240" w:lineRule="auto"/>
        <w:ind w:firstLine="709"/>
        <w:jc w:val="both"/>
        <w:rPr>
          <w:lang w:val="en-US"/>
        </w:rPr>
      </w:pPr>
    </w:p>
    <w:commentRangeStart w:id="15"/>
    <w:p w14:paraId="6BAD0A25" w14:textId="77777777" w:rsidR="00E45CD3" w:rsidRDefault="00000000">
      <w:pPr>
        <w:spacing w:before="240" w:after="120"/>
        <w:ind w:firstLine="708"/>
        <w:rPr>
          <w:rFonts w:ascii="Cambria Math" w:hAnsi="Cambria Math"/>
          <w:i/>
          <w:lang w:val="en-US"/>
        </w:rPr>
      </w:pPr>
      <m:oMath>
        <m:sSub>
          <m:sSubPr>
            <m:ctrlPr>
              <w:rPr>
                <w:rFonts w:ascii="Cambria Math" w:hAnsi="Cambria Math"/>
                <w:i/>
              </w:rPr>
            </m:ctrlPr>
          </m:sSubPr>
          <m:e>
            <m:r>
              <w:rPr>
                <w:rFonts w:ascii="Cambria Math" w:hAnsi="Cambria Math"/>
                <w:lang w:val="en-US"/>
              </w:rPr>
              <m:t>FCI</m:t>
            </m:r>
          </m:e>
          <m:sub>
            <m:r>
              <w:rPr>
                <w:rFonts w:ascii="Cambria Math" w:hAnsi="Cambria Math"/>
                <w:lang w:val="en-US"/>
              </w:rPr>
              <m:t>c,t</m:t>
            </m:r>
          </m:sub>
        </m:sSub>
        <m:r>
          <w:rPr>
            <w:rFonts w:ascii="Cambria Math" w:hAnsi="Cambria Math"/>
            <w:lang w:val="en-US"/>
          </w:rPr>
          <m:t xml:space="preserve">= </m:t>
        </m:r>
        <m:sSub>
          <m:sSubPr>
            <m:ctrlPr>
              <w:rPr>
                <w:rFonts w:ascii="Cambria Math" w:hAnsi="Cambria Math"/>
                <w:i/>
              </w:rPr>
            </m:ctrlPr>
          </m:sSubPr>
          <m:e>
            <m:r>
              <w:rPr>
                <w:rFonts w:ascii="Cambria Math" w:hAnsi="Cambria Math"/>
                <w:lang w:val="en-US"/>
              </w:rPr>
              <m:t>δ</m:t>
            </m:r>
          </m:e>
          <m:sub>
            <m:r>
              <w:rPr>
                <w:rFonts w:ascii="Cambria Math" w:hAnsi="Cambria Math"/>
                <w:lang w:val="en-US"/>
              </w:rPr>
              <m:t>1,c</m:t>
            </m:r>
          </m:sub>
        </m:sSub>
        <m:sSub>
          <m:sSubPr>
            <m:ctrlPr>
              <w:rPr>
                <w:rFonts w:ascii="Cambria Math" w:hAnsi="Cambria Math"/>
                <w:i/>
              </w:rPr>
            </m:ctrlPr>
          </m:sSubPr>
          <m:e>
            <m:r>
              <w:rPr>
                <w:rFonts w:ascii="Cambria Math" w:hAnsi="Cambria Math"/>
                <w:lang w:val="en-US"/>
              </w:rPr>
              <m:t>x</m:t>
            </m:r>
          </m:e>
          <m:sub>
            <m:r>
              <w:rPr>
                <w:rFonts w:ascii="Cambria Math" w:hAnsi="Cambria Math"/>
                <w:lang w:val="en-US"/>
              </w:rPr>
              <m:t>1,t</m:t>
            </m:r>
          </m:sub>
        </m:sSub>
        <m:r>
          <w:rPr>
            <w:rFonts w:ascii="Cambria Math" w:hAnsi="Cambria Math"/>
            <w:lang w:val="en-US"/>
          </w:rPr>
          <m:t>+</m:t>
        </m:r>
        <m:sSub>
          <m:sSubPr>
            <m:ctrlPr>
              <w:rPr>
                <w:rFonts w:ascii="Cambria Math" w:hAnsi="Cambria Math"/>
                <w:i/>
              </w:rPr>
            </m:ctrlPr>
          </m:sSubPr>
          <m:e>
            <m:r>
              <w:rPr>
                <w:rFonts w:ascii="Cambria Math" w:hAnsi="Cambria Math"/>
                <w:lang w:val="en-US"/>
              </w:rPr>
              <m:t>δ</m:t>
            </m:r>
          </m:e>
          <m:sub>
            <m:r>
              <w:rPr>
                <w:rFonts w:ascii="Cambria Math" w:hAnsi="Cambria Math"/>
                <w:lang w:val="en-US"/>
              </w:rPr>
              <m:t>2,c</m:t>
            </m:r>
          </m:sub>
        </m:sSub>
        <m:sSub>
          <m:sSubPr>
            <m:ctrlPr>
              <w:rPr>
                <w:rFonts w:ascii="Cambria Math" w:hAnsi="Cambria Math"/>
                <w:i/>
              </w:rPr>
            </m:ctrlPr>
          </m:sSubPr>
          <m:e>
            <m:r>
              <w:rPr>
                <w:rFonts w:ascii="Cambria Math" w:hAnsi="Cambria Math"/>
                <w:lang w:val="en-US"/>
              </w:rPr>
              <m:t>x</m:t>
            </m:r>
          </m:e>
          <m:sub>
            <m:r>
              <w:rPr>
                <w:rFonts w:ascii="Cambria Math" w:hAnsi="Cambria Math"/>
                <w:lang w:val="en-US"/>
              </w:rPr>
              <m:t>2,t</m:t>
            </m:r>
          </m:sub>
        </m:sSub>
        <m:r>
          <w:rPr>
            <w:rFonts w:ascii="Cambria Math" w:hAnsi="Cambria Math"/>
            <w:lang w:val="en-US"/>
          </w:rPr>
          <m:t>+</m:t>
        </m:r>
        <m:sSub>
          <m:sSubPr>
            <m:ctrlPr>
              <w:rPr>
                <w:rFonts w:ascii="Cambria Math" w:hAnsi="Cambria Math"/>
                <w:i/>
              </w:rPr>
            </m:ctrlPr>
          </m:sSubPr>
          <m:e>
            <m:r>
              <w:rPr>
                <w:rFonts w:ascii="Cambria Math" w:hAnsi="Cambria Math"/>
                <w:lang w:val="en-US"/>
              </w:rPr>
              <m:t>δ</m:t>
            </m:r>
          </m:e>
          <m:sub>
            <m:r>
              <w:rPr>
                <w:rFonts w:ascii="Cambria Math" w:hAnsi="Cambria Math"/>
                <w:lang w:val="en-US"/>
              </w:rPr>
              <m:t>3,c</m:t>
            </m:r>
          </m:sub>
        </m:sSub>
        <m:sSub>
          <m:sSubPr>
            <m:ctrlPr>
              <w:rPr>
                <w:rFonts w:ascii="Cambria Math" w:hAnsi="Cambria Math"/>
                <w:i/>
              </w:rPr>
            </m:ctrlPr>
          </m:sSubPr>
          <m:e>
            <m:r>
              <w:rPr>
                <w:rFonts w:ascii="Cambria Math" w:hAnsi="Cambria Math"/>
                <w:lang w:val="en-US"/>
              </w:rPr>
              <m:t>x</m:t>
            </m:r>
          </m:e>
          <m:sub>
            <m:r>
              <w:rPr>
                <w:rFonts w:ascii="Cambria Math" w:hAnsi="Cambria Math"/>
                <w:lang w:val="en-US"/>
              </w:rPr>
              <m:t>3,t</m:t>
            </m:r>
          </m:sub>
        </m:sSub>
      </m:oMath>
      <w:r w:rsidR="00E45CD3" w:rsidRPr="00E45CD3">
        <w:rPr>
          <w:rFonts w:ascii="Cambria Math" w:hAnsi="Cambria Math"/>
          <w:i/>
          <w:lang w:val="en-US"/>
        </w:rPr>
        <w:t xml:space="preserve">       </w:t>
      </w:r>
      <w:commentRangeEnd w:id="15"/>
      <w:r w:rsidR="00E45CD3">
        <w:rPr>
          <w:rStyle w:val="AklamaBavurusu"/>
          <w:rFonts w:ascii="Cambria Math" w:hAnsi="Cambria Math"/>
          <w:i/>
          <w:sz w:val="24"/>
          <w:szCs w:val="24"/>
          <w:lang w:val="en-US"/>
        </w:rPr>
        <w:commentReference w:id="15"/>
      </w:r>
    </w:p>
    <w:p w14:paraId="26A5F5CE" w14:textId="77777777" w:rsidR="000E4EFD" w:rsidRDefault="000E4EFD" w:rsidP="00143231">
      <w:pPr>
        <w:pBdr>
          <w:top w:val="nil"/>
          <w:left w:val="nil"/>
          <w:bottom w:val="nil"/>
          <w:right w:val="nil"/>
          <w:between w:val="nil"/>
        </w:pBdr>
        <w:spacing w:before="280" w:after="280" w:line="240" w:lineRule="auto"/>
        <w:jc w:val="both"/>
      </w:pPr>
    </w:p>
    <w:p w14:paraId="47D3B15C" w14:textId="2884B72B" w:rsidR="000E4EFD" w:rsidRDefault="00FE260F">
      <w:pPr>
        <w:pBdr>
          <w:top w:val="nil"/>
          <w:left w:val="nil"/>
          <w:bottom w:val="nil"/>
          <w:right w:val="nil"/>
          <w:between w:val="nil"/>
        </w:pBdr>
        <w:spacing w:before="280" w:after="280" w:line="240" w:lineRule="auto"/>
        <w:rPr>
          <w:b/>
          <w:bCs/>
          <w:color w:val="000000"/>
          <w:sz w:val="28"/>
          <w:szCs w:val="28"/>
        </w:rPr>
      </w:pPr>
      <w:commentRangeStart w:id="16"/>
      <w:r>
        <w:rPr>
          <w:b/>
          <w:bCs/>
          <w:color w:val="000000"/>
          <w:sz w:val="28"/>
          <w:szCs w:val="28"/>
        </w:rPr>
        <w:t>REFERENCES</w:t>
      </w:r>
      <w:commentRangeEnd w:id="16"/>
      <w:r w:rsidR="00460399">
        <w:rPr>
          <w:rStyle w:val="AklamaBavurusu"/>
          <w:b/>
          <w:bCs/>
          <w:color w:val="000000"/>
          <w:sz w:val="28"/>
          <w:szCs w:val="28"/>
        </w:rPr>
        <w:commentReference w:id="16"/>
      </w:r>
    </w:p>
    <w:p w14:paraId="1F47E1E1" w14:textId="77777777" w:rsidR="000E4EFD" w:rsidRDefault="00000000">
      <w:pPr>
        <w:spacing w:after="120" w:line="240" w:lineRule="auto"/>
        <w:ind w:left="709" w:hanging="709"/>
        <w:jc w:val="both"/>
      </w:pPr>
      <w:r>
        <w:rPr>
          <w:color w:val="222222"/>
          <w:highlight w:val="white"/>
        </w:rPr>
        <w:lastRenderedPageBreak/>
        <w:t>Baker, D. M. (2013). Understanding the economic impact of tourism in the Asian Pacific region using the tourism satellite account (TSA). International Journal of Business and Social Science, 4(3).</w:t>
      </w:r>
      <w:r>
        <w:t xml:space="preserve"> </w:t>
      </w:r>
    </w:p>
    <w:p w14:paraId="23B124D8" w14:textId="77777777" w:rsidR="000E4EFD" w:rsidRDefault="00000000">
      <w:pPr>
        <w:spacing w:after="120" w:line="240" w:lineRule="auto"/>
        <w:ind w:left="709" w:hanging="709"/>
        <w:jc w:val="both"/>
        <w:rPr>
          <w:color w:val="222222"/>
          <w:highlight w:val="white"/>
        </w:rPr>
      </w:pPr>
      <w:r>
        <w:rPr>
          <w:color w:val="222222"/>
          <w:highlight w:val="white"/>
        </w:rPr>
        <w:t>Baum, T. (2007). Human resources in tourism: Still waiting for change. Tourism management, 28(6), 1383-1399.</w:t>
      </w:r>
    </w:p>
    <w:p w14:paraId="5DDF3D78" w14:textId="77777777" w:rsidR="000E4EFD" w:rsidRDefault="00000000">
      <w:pPr>
        <w:spacing w:after="120" w:line="240" w:lineRule="auto"/>
        <w:ind w:left="709" w:hanging="709"/>
        <w:jc w:val="both"/>
      </w:pPr>
      <w:r>
        <w:rPr>
          <w:color w:val="222222"/>
          <w:highlight w:val="white"/>
        </w:rPr>
        <w:t>Baum, T. (2012). Human resource management in tourism: a small island perspective. International Journal of Culture, Tourism and Hospitality Research, 6(2), 124-132.</w:t>
      </w:r>
    </w:p>
    <w:p w14:paraId="58461DFA" w14:textId="77777777" w:rsidR="000E4EFD" w:rsidRDefault="00000000">
      <w:pPr>
        <w:spacing w:after="120" w:line="240" w:lineRule="auto"/>
        <w:ind w:left="709" w:hanging="709"/>
        <w:jc w:val="both"/>
        <w:rPr>
          <w:color w:val="222222"/>
          <w:highlight w:val="white"/>
        </w:rPr>
      </w:pPr>
      <w:r>
        <w:rPr>
          <w:color w:val="222222"/>
          <w:highlight w:val="white"/>
        </w:rPr>
        <w:t>Baum, T., Hearns, N., &amp; Devine, F. (2007). Place, people and interpretation: issues of migrant labour and tourism imagery in Ireland. Tourism Recreation Research, 32(3), 39-48.</w:t>
      </w:r>
    </w:p>
    <w:p w14:paraId="14F8E38E" w14:textId="77777777" w:rsidR="000E4EFD" w:rsidRDefault="00000000">
      <w:pPr>
        <w:spacing w:after="120" w:line="240" w:lineRule="auto"/>
        <w:ind w:left="709" w:hanging="709"/>
        <w:jc w:val="both"/>
      </w:pPr>
      <w:r>
        <w:rPr>
          <w:color w:val="222222"/>
          <w:highlight w:val="white"/>
        </w:rPr>
        <w:t>Becherel, L., &amp; Cooper, C. (2002). The impact of globalisation on human resource management in the tourism sector. Tourism Recreation Research, 27(1), 1-12.</w:t>
      </w:r>
    </w:p>
    <w:p w14:paraId="2B3E68FF" w14:textId="77777777" w:rsidR="000E4EFD" w:rsidRDefault="00000000">
      <w:pPr>
        <w:spacing w:after="120" w:line="240" w:lineRule="auto"/>
        <w:ind w:left="709" w:hanging="709"/>
        <w:jc w:val="both"/>
      </w:pPr>
      <w:r>
        <w:t>Bhardwaj, G., Singh, S. V., &amp; Kumar, V. (2020). An empirical study of artificial intelligence and its impact on human resource functions. 2020 International Conference on Computation, Automation and Knowledge Management (ICCAKM) (47-51) . IEEE.</w:t>
      </w:r>
    </w:p>
    <w:p w14:paraId="144ED123" w14:textId="77777777" w:rsidR="000E4EFD" w:rsidRDefault="00000000">
      <w:pPr>
        <w:spacing w:after="120" w:line="240" w:lineRule="auto"/>
        <w:ind w:left="709" w:hanging="709"/>
        <w:jc w:val="both"/>
        <w:rPr>
          <w:color w:val="000000"/>
        </w:rPr>
      </w:pPr>
      <w:r>
        <w:rPr>
          <w:color w:val="000000"/>
          <w:highlight w:val="white"/>
        </w:rPr>
        <w:t>Bharwani, S., &amp; Butt, N. (2012). Challenges for the global hospitality industry: an HR perspective. Worldwide hospitality and tourism themes, 4(2), 150-162.</w:t>
      </w:r>
      <w:r>
        <w:rPr>
          <w:color w:val="000000"/>
        </w:rPr>
        <w:t xml:space="preserve"> </w:t>
      </w:r>
    </w:p>
    <w:p w14:paraId="2EB9DEAB" w14:textId="77777777" w:rsidR="000E4EFD" w:rsidRDefault="00000000">
      <w:pPr>
        <w:spacing w:after="120" w:line="240" w:lineRule="auto"/>
        <w:ind w:left="709" w:hanging="709"/>
        <w:jc w:val="both"/>
        <w:rPr>
          <w:color w:val="222222"/>
          <w:highlight w:val="white"/>
        </w:rPr>
      </w:pPr>
      <w:r>
        <w:rPr>
          <w:color w:val="222222"/>
          <w:highlight w:val="white"/>
        </w:rPr>
        <w:t>Bhuiyan, M., Rahman, M. A., Hoque, A. B., Ashrafuzzaman, M., &amp; Rahman, A. (2023). Advanced Analytics And Machine Learning For Revenue Optimization In The Hospitality Industry: A Comprehensive Review Of Frameworks. American Journal of Scholarly Research and Innovation, 2(02), 52-74.</w:t>
      </w:r>
    </w:p>
    <w:p w14:paraId="2BA00D61" w14:textId="77777777" w:rsidR="000E4EFD" w:rsidRDefault="00000000">
      <w:pPr>
        <w:spacing w:after="120" w:line="240" w:lineRule="auto"/>
        <w:ind w:left="709" w:hanging="709"/>
        <w:jc w:val="both"/>
        <w:rPr>
          <w:color w:val="222222"/>
          <w:highlight w:val="white"/>
        </w:rPr>
      </w:pPr>
      <w:r>
        <w:rPr>
          <w:color w:val="222222"/>
          <w:highlight w:val="white"/>
        </w:rPr>
        <w:t>Boella, M. J., &amp; Goss-Turner, S. (2013). Human resource management in the hospitality industry: A guide to best practice. Routledge.</w:t>
      </w:r>
    </w:p>
    <w:p w14:paraId="362E121D" w14:textId="77777777" w:rsidR="000E4EFD" w:rsidRDefault="00000000">
      <w:pPr>
        <w:spacing w:after="120" w:line="240" w:lineRule="auto"/>
        <w:ind w:left="709" w:hanging="709"/>
        <w:jc w:val="both"/>
        <w:rPr>
          <w:color w:val="222222"/>
          <w:highlight w:val="white"/>
        </w:rPr>
      </w:pPr>
      <w:r>
        <w:rPr>
          <w:color w:val="222222"/>
          <w:highlight w:val="white"/>
        </w:rPr>
        <w:t>Burke, R. J. (2018). Human resource management in the hospitality and tourism sector. Handbook of human resource management in the tourism and hospitality industries, 3-39.</w:t>
      </w:r>
    </w:p>
    <w:p w14:paraId="2079AE24" w14:textId="77777777" w:rsidR="000E4EFD" w:rsidRDefault="00000000">
      <w:pPr>
        <w:spacing w:after="120" w:line="240" w:lineRule="auto"/>
        <w:ind w:left="709" w:hanging="709"/>
        <w:jc w:val="both"/>
      </w:pPr>
      <w:r>
        <w:rPr>
          <w:color w:val="222222"/>
          <w:highlight w:val="white"/>
        </w:rPr>
        <w:t>Campbell, A. J., &amp; Verbeke, A. (1994). The globalization of service multinationals. Long Range Planning, 27(2), 95-102.</w:t>
      </w:r>
      <w:r>
        <w:t xml:space="preserve"> </w:t>
      </w:r>
    </w:p>
    <w:p w14:paraId="771A591E" w14:textId="77777777" w:rsidR="000E4EFD" w:rsidRDefault="00000000">
      <w:pPr>
        <w:spacing w:after="120" w:line="240" w:lineRule="auto"/>
        <w:ind w:left="709" w:hanging="709"/>
        <w:jc w:val="both"/>
        <w:rPr>
          <w:color w:val="222222"/>
          <w:highlight w:val="white"/>
        </w:rPr>
      </w:pPr>
      <w:r>
        <w:rPr>
          <w:color w:val="222222"/>
          <w:highlight w:val="white"/>
        </w:rPr>
        <w:t>Costa, C. (2006). Tourism planning, development and the territory. In Tourism management dynamics (236-243). Routledge.</w:t>
      </w:r>
    </w:p>
    <w:p w14:paraId="48D9BD06" w14:textId="77777777" w:rsidR="000E4EFD" w:rsidRDefault="00000000">
      <w:pPr>
        <w:spacing w:after="120" w:line="240" w:lineRule="auto"/>
        <w:ind w:left="709" w:hanging="709"/>
        <w:jc w:val="both"/>
        <w:rPr>
          <w:color w:val="222222"/>
          <w:highlight w:val="white"/>
        </w:rPr>
      </w:pPr>
      <w:r>
        <w:rPr>
          <w:color w:val="222222"/>
          <w:highlight w:val="white"/>
        </w:rPr>
        <w:t>Çetinel, F., Yolal, M., &amp; Emeksiz, M. (2008). Human resources management in small-and medium-sized hotels in Turkey. Journal of Human Resources in Hospitality &amp; Tourism, 8(1), 43-63.</w:t>
      </w:r>
    </w:p>
    <w:p w14:paraId="64356306" w14:textId="77777777" w:rsidR="000E4EFD" w:rsidRDefault="00000000">
      <w:pPr>
        <w:spacing w:after="120" w:line="240" w:lineRule="auto"/>
        <w:ind w:left="709" w:hanging="709"/>
        <w:jc w:val="both"/>
        <w:rPr>
          <w:color w:val="222222"/>
          <w:highlight w:val="white"/>
        </w:rPr>
      </w:pPr>
      <w:r>
        <w:rPr>
          <w:color w:val="222222"/>
          <w:highlight w:val="white"/>
        </w:rPr>
        <w:t>Demir, C. (2004). The importance of human resources planning for tourism administrations. Tourism (13327461), 52(3).</w:t>
      </w:r>
    </w:p>
    <w:p w14:paraId="6F24C0D5" w14:textId="77777777" w:rsidR="000E4EFD" w:rsidRDefault="00000000">
      <w:pPr>
        <w:spacing w:after="120" w:line="240" w:lineRule="auto"/>
        <w:ind w:left="709" w:hanging="709"/>
        <w:jc w:val="both"/>
        <w:rPr>
          <w:color w:val="222222"/>
          <w:highlight w:val="white"/>
        </w:rPr>
      </w:pPr>
      <w:r>
        <w:rPr>
          <w:color w:val="222222"/>
          <w:highlight w:val="white"/>
        </w:rPr>
        <w:lastRenderedPageBreak/>
        <w:t>Dhar, R.L. (2015) The effects of high performance human resource practices on service innovative behavior. International Journal of Hospitality Management, 51, 67–75.</w:t>
      </w:r>
    </w:p>
    <w:p w14:paraId="70069B8B" w14:textId="77777777" w:rsidR="000E4EFD" w:rsidRDefault="00000000">
      <w:pPr>
        <w:spacing w:after="120" w:line="240" w:lineRule="auto"/>
        <w:ind w:left="709" w:hanging="709"/>
        <w:jc w:val="both"/>
        <w:rPr>
          <w:color w:val="222222"/>
          <w:highlight w:val="white"/>
        </w:rPr>
      </w:pPr>
      <w:r>
        <w:rPr>
          <w:color w:val="222222"/>
          <w:highlight w:val="white"/>
        </w:rPr>
        <w:t>Doan, T., Kanjanakan, P., Zhu, D., &amp; Kim, P. B. (2021). Consequences of employee personality in the hospitality context: a systematic review and meta-analysis. International Journal of Contemporary Hospitality Management, 33(10), 3814-3832.</w:t>
      </w:r>
    </w:p>
    <w:p w14:paraId="488A208D" w14:textId="77777777" w:rsidR="000E4EFD" w:rsidRDefault="00000000">
      <w:pPr>
        <w:spacing w:after="120" w:line="240" w:lineRule="auto"/>
        <w:ind w:left="709" w:hanging="709"/>
        <w:jc w:val="both"/>
        <w:rPr>
          <w:color w:val="222222"/>
          <w:highlight w:val="white"/>
        </w:rPr>
      </w:pPr>
      <w:r>
        <w:rPr>
          <w:color w:val="222222"/>
          <w:highlight w:val="white"/>
        </w:rPr>
        <w:t>Dubé, L., Enz, C. A., Renaghan, L. M., &amp; Siguaw, J. (1999). Best practices in the US lodging industry: Overview, methods, and champions. Cornell Hotel and Restaurant Administration Quarterly, 40(4), 14-27.</w:t>
      </w:r>
    </w:p>
    <w:p w14:paraId="760FA134" w14:textId="77777777" w:rsidR="000E4EFD" w:rsidRDefault="00000000">
      <w:pPr>
        <w:spacing w:after="120" w:line="240" w:lineRule="auto"/>
        <w:ind w:left="709" w:hanging="709"/>
        <w:jc w:val="both"/>
        <w:rPr>
          <w:color w:val="000000"/>
          <w:highlight w:val="white"/>
        </w:rPr>
      </w:pPr>
      <w:r>
        <w:rPr>
          <w:color w:val="000000"/>
          <w:highlight w:val="white"/>
        </w:rPr>
        <w:t>Enz, C. A., &amp; Siguaw, J. A. (2000). Best practices in human resources. Cornell Hotel and Restaurant Administration Quarterly, 41(1), 48-61.</w:t>
      </w:r>
    </w:p>
    <w:p w14:paraId="50A83BE1" w14:textId="77777777" w:rsidR="000E4EFD" w:rsidRDefault="00000000">
      <w:pPr>
        <w:spacing w:after="120" w:line="240" w:lineRule="auto"/>
        <w:ind w:left="709" w:hanging="709"/>
        <w:jc w:val="both"/>
        <w:rPr>
          <w:color w:val="222222"/>
          <w:highlight w:val="white"/>
        </w:rPr>
      </w:pPr>
      <w:r>
        <w:rPr>
          <w:color w:val="222222"/>
          <w:highlight w:val="white"/>
        </w:rPr>
        <w:t>Enz, C.A. (2001) What keeps you up at night: key issues of concern for lodging managers. Cornell Hotel and Restaurant Administration Quarterly, 42, 38–45.</w:t>
      </w:r>
    </w:p>
    <w:p w14:paraId="610E0778" w14:textId="77777777" w:rsidR="000E4EFD" w:rsidRDefault="00000000">
      <w:pPr>
        <w:spacing w:after="120" w:line="240" w:lineRule="auto"/>
        <w:ind w:left="709" w:hanging="709"/>
        <w:jc w:val="both"/>
        <w:rPr>
          <w:color w:val="222222"/>
          <w:highlight w:val="white"/>
        </w:rPr>
      </w:pPr>
      <w:r>
        <w:rPr>
          <w:color w:val="222222"/>
          <w:highlight w:val="white"/>
        </w:rPr>
        <w:t>Garg, V., Srivastav, S., &amp; Gupta, A. (2018). Application of artificial intelligence for sustaining green human resource management. In 2018 International Conference on Automation and Computational Engineering (ICACE) (113-116). IEEE.</w:t>
      </w:r>
    </w:p>
    <w:p w14:paraId="72417389" w14:textId="77777777" w:rsidR="000E4EFD" w:rsidRDefault="00000000">
      <w:pPr>
        <w:spacing w:after="120" w:line="240" w:lineRule="auto"/>
        <w:ind w:left="709" w:hanging="709"/>
        <w:jc w:val="both"/>
        <w:rPr>
          <w:color w:val="222222"/>
          <w:highlight w:val="white"/>
        </w:rPr>
      </w:pPr>
      <w:r>
        <w:rPr>
          <w:color w:val="222222"/>
          <w:highlight w:val="white"/>
        </w:rPr>
        <w:t>Harte, Z. (2019). The Future Is Now: Three HR Trends That Will Transform Your Organization in 2019.</w:t>
      </w:r>
    </w:p>
    <w:p w14:paraId="53FA5304" w14:textId="77777777" w:rsidR="000E4EFD" w:rsidRDefault="00000000">
      <w:pPr>
        <w:spacing w:after="120" w:line="240" w:lineRule="auto"/>
        <w:ind w:left="709" w:hanging="709"/>
        <w:jc w:val="both"/>
        <w:rPr>
          <w:color w:val="222222"/>
          <w:highlight w:val="white"/>
        </w:rPr>
      </w:pPr>
      <w:r>
        <w:rPr>
          <w:color w:val="222222"/>
          <w:highlight w:val="white"/>
        </w:rPr>
        <w:t>Holland, J. H. (1992). Adaptation in natural and artificial systems: an introductory analysis with applications to biology, control, and artificial intelligence. MIT press.</w:t>
      </w:r>
    </w:p>
    <w:p w14:paraId="454FB138" w14:textId="77777777" w:rsidR="000E4EFD" w:rsidRDefault="00000000">
      <w:pPr>
        <w:spacing w:after="120" w:line="240" w:lineRule="auto"/>
        <w:ind w:left="709" w:hanging="709"/>
        <w:jc w:val="both"/>
        <w:rPr>
          <w:color w:val="000000"/>
          <w:highlight w:val="white"/>
        </w:rPr>
      </w:pPr>
      <w:r>
        <w:rPr>
          <w:color w:val="000000"/>
          <w:highlight w:val="white"/>
        </w:rPr>
        <w:t>Ireland, F. (2005). A human resource development strategy for Irish tourism: competing through people. Failte Ireland, Dublin.</w:t>
      </w:r>
    </w:p>
    <w:p w14:paraId="1D4E9959" w14:textId="77777777" w:rsidR="000E4EFD" w:rsidRDefault="00000000">
      <w:pPr>
        <w:spacing w:after="120" w:line="240" w:lineRule="auto"/>
        <w:ind w:left="709" w:hanging="709"/>
        <w:jc w:val="both"/>
      </w:pPr>
      <w:r>
        <w:rPr>
          <w:color w:val="222222"/>
          <w:highlight w:val="white"/>
        </w:rPr>
        <w:t>Jarrahi, M. H. (2018). Artificial intelligence and the future of work: Human-AI symbiosis in organizational decision making. Business horizons, 61(4), 577-586.</w:t>
      </w:r>
    </w:p>
    <w:p w14:paraId="6B5DA34D" w14:textId="77777777" w:rsidR="000E4EFD" w:rsidRDefault="00000000">
      <w:pPr>
        <w:spacing w:after="120" w:line="240" w:lineRule="auto"/>
        <w:ind w:left="709" w:hanging="709"/>
        <w:jc w:val="both"/>
        <w:rPr>
          <w:color w:val="222222"/>
          <w:highlight w:val="white"/>
        </w:rPr>
      </w:pPr>
      <w:r>
        <w:rPr>
          <w:color w:val="222222"/>
          <w:highlight w:val="white"/>
        </w:rPr>
        <w:t>Jia Q., Guo Y., Li R., Li Y.R., &amp; Chen Y.W. (2018). A conceptual artificial intelligence application framework in human resource management. In Proceedings of The 18th International Conference on Electronic Business (pp. 106- 114). ICEB, Guilin, China, December 2-6.</w:t>
      </w:r>
    </w:p>
    <w:p w14:paraId="024EB51E" w14:textId="77777777" w:rsidR="000E4EFD" w:rsidRDefault="00000000">
      <w:pPr>
        <w:spacing w:after="120" w:line="240" w:lineRule="auto"/>
        <w:ind w:left="709" w:hanging="709"/>
        <w:jc w:val="both"/>
        <w:rPr>
          <w:color w:val="222222"/>
          <w:highlight w:val="white"/>
        </w:rPr>
      </w:pPr>
      <w:r>
        <w:rPr>
          <w:color w:val="222222"/>
          <w:highlight w:val="white"/>
        </w:rPr>
        <w:t>Karaboğa, U., &amp; Vardarlier, P. (2021). Examining the use of artificial intelligence in recruitment processes. Bussecon Review of Social Sciences (2687-2285), 2(4), 1-17.</w:t>
      </w:r>
    </w:p>
    <w:p w14:paraId="2086E1FE" w14:textId="77777777" w:rsidR="000E4EFD" w:rsidRDefault="00000000">
      <w:pPr>
        <w:spacing w:after="120" w:line="240" w:lineRule="auto"/>
        <w:ind w:left="709" w:hanging="709"/>
        <w:jc w:val="both"/>
        <w:rPr>
          <w:color w:val="222222"/>
          <w:highlight w:val="white"/>
        </w:rPr>
      </w:pPr>
      <w:r>
        <w:rPr>
          <w:color w:val="222222"/>
          <w:highlight w:val="white"/>
        </w:rPr>
        <w:t>Love, L. F., &amp; Singh, P. (2011). Workplace branding: Leveraging human resources management practices for competitive advantage through “Best Employer” surveys. Journal of Business and Psychology, 26(2), 175-181.</w:t>
      </w:r>
    </w:p>
    <w:p w14:paraId="7198998D" w14:textId="77777777" w:rsidR="000E4EFD" w:rsidRDefault="00000000">
      <w:pPr>
        <w:spacing w:after="120" w:line="240" w:lineRule="auto"/>
        <w:ind w:left="709" w:hanging="709"/>
        <w:jc w:val="both"/>
        <w:rPr>
          <w:color w:val="222222"/>
          <w:highlight w:val="white"/>
        </w:rPr>
      </w:pPr>
      <w:r>
        <w:rPr>
          <w:color w:val="222222"/>
          <w:highlight w:val="white"/>
        </w:rPr>
        <w:t>Ma Prieto, I., &amp; Pilar Pérez-Santana, M. (2014). Managing innovative work behavior: the role of human resource practices. Personnel review, 43(2), 184-208</w:t>
      </w:r>
    </w:p>
    <w:p w14:paraId="0647A39F" w14:textId="77777777" w:rsidR="000E4EFD" w:rsidRDefault="00000000">
      <w:pPr>
        <w:spacing w:after="120" w:line="240" w:lineRule="auto"/>
        <w:ind w:left="709" w:hanging="709"/>
        <w:jc w:val="both"/>
        <w:rPr>
          <w:color w:val="222222"/>
          <w:highlight w:val="white"/>
        </w:rPr>
      </w:pPr>
      <w:r>
        <w:rPr>
          <w:color w:val="222222"/>
          <w:highlight w:val="white"/>
        </w:rPr>
        <w:lastRenderedPageBreak/>
        <w:t>Majumder, S., &amp; Mondal, A. (2021). Are chatbots really useful for human resource management?. International Journal of Speech Technology, 24(4), 969-977.</w:t>
      </w:r>
    </w:p>
    <w:p w14:paraId="055CC5BC" w14:textId="77777777" w:rsidR="000E4EFD" w:rsidRDefault="00000000">
      <w:pPr>
        <w:spacing w:after="120" w:line="240" w:lineRule="auto"/>
        <w:ind w:left="709" w:hanging="709"/>
        <w:jc w:val="both"/>
      </w:pPr>
      <w:r>
        <w:rPr>
          <w:color w:val="222222"/>
          <w:highlight w:val="white"/>
        </w:rPr>
        <w:t>Marinakou, E., Giousmpasoglou, C., &amp; Papavasileiou, E. F. (2025). The use of artificial intelligence (AI) in talent acquisition: The case of Greek luxury hotels. Strategic Change, 34(4), 533-543.</w:t>
      </w:r>
    </w:p>
    <w:p w14:paraId="531A6EE6" w14:textId="77777777" w:rsidR="000E4EFD" w:rsidRDefault="00000000">
      <w:pPr>
        <w:spacing w:after="120" w:line="240" w:lineRule="auto"/>
        <w:ind w:left="709" w:hanging="709"/>
        <w:jc w:val="both"/>
        <w:rPr>
          <w:color w:val="000000"/>
        </w:rPr>
      </w:pPr>
      <w:r>
        <w:rPr>
          <w:color w:val="000000"/>
        </w:rPr>
        <w:t>Martins, C., &amp; Machado., C. 2002. A importância dos recursos humanos no sector hoteleiro. Instituto Politécnico de Bragança.</w:t>
      </w:r>
    </w:p>
    <w:p w14:paraId="381D50D6" w14:textId="77777777" w:rsidR="000E4EFD" w:rsidRDefault="00000000">
      <w:pPr>
        <w:spacing w:after="120" w:line="240" w:lineRule="auto"/>
        <w:ind w:left="709" w:hanging="709"/>
        <w:jc w:val="both"/>
        <w:rPr>
          <w:color w:val="000000"/>
          <w:highlight w:val="white"/>
        </w:rPr>
      </w:pPr>
      <w:r>
        <w:rPr>
          <w:color w:val="000000"/>
          <w:highlight w:val="white"/>
        </w:rPr>
        <w:t>Murphy, K. S., &amp; Murrmann, S. (2009). The research design used to develop a high performance management system construct for US restaurant managers. International Journal of Hospitality Management, 28(4), 547-555.</w:t>
      </w:r>
    </w:p>
    <w:p w14:paraId="57B2EF11" w14:textId="77777777" w:rsidR="000E4EFD" w:rsidRDefault="00000000">
      <w:pPr>
        <w:spacing w:after="120" w:line="240" w:lineRule="auto"/>
        <w:ind w:left="709" w:hanging="709"/>
        <w:jc w:val="both"/>
        <w:rPr>
          <w:color w:val="222222"/>
          <w:highlight w:val="white"/>
        </w:rPr>
      </w:pPr>
      <w:r>
        <w:rPr>
          <w:color w:val="222222"/>
          <w:highlight w:val="white"/>
        </w:rPr>
        <w:t>Nayal, K., Raut, R., Priyadarshinee, P., Narkhede, B. E., Kazancoglu, Y., &amp; Narwane, V. (2022). Exploring the role of artificial intelligence in managing agricultural supply chain risk to counter the impacts of the COVID-19 pandemic. The International Journal of Logistics Management, 33(3), 744-772.</w:t>
      </w:r>
    </w:p>
    <w:p w14:paraId="068A4A67" w14:textId="77777777" w:rsidR="000E4EFD" w:rsidRDefault="00000000">
      <w:pPr>
        <w:spacing w:after="120" w:line="240" w:lineRule="auto"/>
        <w:ind w:left="709" w:hanging="709"/>
        <w:jc w:val="both"/>
        <w:rPr>
          <w:color w:val="222222"/>
          <w:highlight w:val="white"/>
        </w:rPr>
      </w:pPr>
      <w:r>
        <w:rPr>
          <w:color w:val="222222"/>
          <w:highlight w:val="white"/>
        </w:rPr>
        <w:t>Noe, R., Hollenbeck, J., Gerhart, B., &amp; Wright, P. (2006). Human resources management: Gaining a competitive advantage, tenth global edition. New York, NY, USA:: McGraw-Hill Education.</w:t>
      </w:r>
    </w:p>
    <w:p w14:paraId="02550220" w14:textId="77777777" w:rsidR="000E4EFD" w:rsidRDefault="00000000">
      <w:pPr>
        <w:spacing w:after="120" w:line="240" w:lineRule="auto"/>
        <w:ind w:left="709" w:hanging="709"/>
        <w:jc w:val="both"/>
      </w:pPr>
      <w:r>
        <w:t>Orosoo, M., Raash, N., Santosh, K., Kaur, C., Bani-Younis, J. M. A., &amp; Rengarajan, M. (2023). Exploring the influence of artificial intelligence technology in managing human resource management. Journal of Theoretical and Applied Information Technology, 101(23), 7847-7855.</w:t>
      </w:r>
    </w:p>
    <w:p w14:paraId="123F3BA7" w14:textId="77777777" w:rsidR="000E4EFD" w:rsidRDefault="00000000">
      <w:pPr>
        <w:spacing w:after="120" w:line="240" w:lineRule="auto"/>
        <w:ind w:left="709" w:hanging="709"/>
        <w:jc w:val="both"/>
        <w:rPr>
          <w:color w:val="222222"/>
          <w:highlight w:val="white"/>
        </w:rPr>
      </w:pPr>
      <w:r>
        <w:rPr>
          <w:color w:val="222222"/>
          <w:highlight w:val="white"/>
        </w:rPr>
        <w:t>Pelit, E., &amp; Katircioglu, E. (2022). Human resource management studies in hospitality and tourism domain: a bibliometric analysis. International Journal of Contemporary Hospitality Management, 34(3), 1106-1134.</w:t>
      </w:r>
    </w:p>
    <w:p w14:paraId="1EE027BA" w14:textId="77777777" w:rsidR="000E4EFD" w:rsidRDefault="00000000">
      <w:pPr>
        <w:spacing w:after="120" w:line="240" w:lineRule="auto"/>
        <w:ind w:left="709" w:hanging="709"/>
        <w:jc w:val="both"/>
        <w:rPr>
          <w:color w:val="222222"/>
          <w:highlight w:val="white"/>
        </w:rPr>
      </w:pPr>
      <w:r>
        <w:rPr>
          <w:color w:val="222222"/>
          <w:highlight w:val="white"/>
        </w:rPr>
        <w:t>Rajesh, S., Kandaswamy, M. U., &amp; Rakesh, M. A. (2018). The impact of Artificial Intelligence in Talent Acquisition Lifecycle of organizations: A global perspective. International Journal of Engineering Development and Research, 6(2), 709-717.</w:t>
      </w:r>
    </w:p>
    <w:p w14:paraId="1860BB93" w14:textId="77777777" w:rsidR="000E4EFD" w:rsidRDefault="00000000">
      <w:pPr>
        <w:spacing w:after="120" w:line="240" w:lineRule="auto"/>
        <w:ind w:left="709" w:hanging="709"/>
        <w:jc w:val="both"/>
        <w:rPr>
          <w:color w:val="222222"/>
          <w:highlight w:val="white"/>
        </w:rPr>
      </w:pPr>
      <w:r>
        <w:rPr>
          <w:color w:val="222222"/>
          <w:highlight w:val="white"/>
        </w:rPr>
        <w:t>Ribeiro, L., Gonçalves, E., &amp; Guerra, R. (2020). The importance of qualification of the human resources in tourism: a study applied to travel agents in Portugal. PASOS Revista de Turismo y Patrimonio Cultural, 18(4), 667-682.</w:t>
      </w:r>
    </w:p>
    <w:p w14:paraId="5208C84C" w14:textId="77777777" w:rsidR="000E4EFD" w:rsidRDefault="00000000">
      <w:pPr>
        <w:spacing w:after="120" w:line="240" w:lineRule="auto"/>
        <w:ind w:left="709" w:hanging="709"/>
        <w:jc w:val="both"/>
        <w:rPr>
          <w:color w:val="222222"/>
          <w:highlight w:val="white"/>
        </w:rPr>
      </w:pPr>
      <w:r>
        <w:rPr>
          <w:color w:val="222222"/>
          <w:highlight w:val="white"/>
        </w:rPr>
        <w:t>Rich, E. (1983). Users are individuals: individualizing user models. International journal of man-machine studies, 18(3), 199-214.</w:t>
      </w:r>
    </w:p>
    <w:p w14:paraId="35F8F9E8" w14:textId="77777777" w:rsidR="000E4EFD" w:rsidRDefault="00000000">
      <w:pPr>
        <w:spacing w:after="120" w:line="240" w:lineRule="auto"/>
        <w:ind w:left="709" w:hanging="709"/>
        <w:jc w:val="both"/>
        <w:rPr>
          <w:color w:val="222222"/>
          <w:highlight w:val="white"/>
        </w:rPr>
      </w:pPr>
      <w:r>
        <w:rPr>
          <w:color w:val="222222"/>
          <w:highlight w:val="white"/>
        </w:rPr>
        <w:t>Ruel, H., &amp; Njoku, E. (2021). AI redefining the hospitality industry. Journal of Tourism Futures, 7(1), 53-66.</w:t>
      </w:r>
    </w:p>
    <w:p w14:paraId="2B97FB25" w14:textId="77777777" w:rsidR="000E4EFD" w:rsidRDefault="00000000">
      <w:pPr>
        <w:spacing w:after="120" w:line="240" w:lineRule="auto"/>
        <w:ind w:left="709" w:hanging="709"/>
        <w:jc w:val="both"/>
      </w:pPr>
      <w:r>
        <w:t>Scullion, H. and K. Starkey. 2000. In Search of the Changing Role of the Corporate Human Resource Function in the International Firm. International Journal of Human Resource Management, December: 1061-1081</w:t>
      </w:r>
    </w:p>
    <w:p w14:paraId="008A8752" w14:textId="77777777" w:rsidR="000E4EFD" w:rsidRDefault="00000000">
      <w:pPr>
        <w:spacing w:after="120" w:line="240" w:lineRule="auto"/>
        <w:ind w:left="709" w:hanging="709"/>
        <w:jc w:val="both"/>
        <w:rPr>
          <w:color w:val="222222"/>
          <w:highlight w:val="white"/>
        </w:rPr>
      </w:pPr>
      <w:r>
        <w:rPr>
          <w:color w:val="222222"/>
          <w:highlight w:val="white"/>
        </w:rPr>
        <w:lastRenderedPageBreak/>
        <w:t>Strober, M. H. (1990). Human capital theory: Implications for HR managers. Industrial Relations: A Journal of Economy and Society, 29(2), 214-239.</w:t>
      </w:r>
    </w:p>
    <w:p w14:paraId="5D761633" w14:textId="77777777" w:rsidR="000E4EFD" w:rsidRDefault="00000000">
      <w:pPr>
        <w:spacing w:after="120" w:line="240" w:lineRule="auto"/>
        <w:ind w:left="709" w:hanging="709"/>
        <w:jc w:val="both"/>
        <w:rPr>
          <w:color w:val="222222"/>
          <w:highlight w:val="white"/>
        </w:rPr>
      </w:pPr>
      <w:r>
        <w:rPr>
          <w:color w:val="222222"/>
          <w:highlight w:val="white"/>
        </w:rPr>
        <w:t>Szivas, E., &amp; Riley, M. (1999). Tourism employment during economic transition. Annals of tourism research, 26(4), 747-771.</w:t>
      </w:r>
    </w:p>
    <w:p w14:paraId="163E9253" w14:textId="77777777" w:rsidR="000E4EFD" w:rsidRDefault="00000000">
      <w:pPr>
        <w:spacing w:after="120" w:line="240" w:lineRule="auto"/>
        <w:ind w:left="709" w:hanging="709"/>
        <w:jc w:val="both"/>
      </w:pPr>
      <w:r>
        <w:rPr>
          <w:color w:val="222222"/>
          <w:highlight w:val="white"/>
        </w:rPr>
        <w:t>Tahiri, A., Kovaçi, I., Agim, T., &amp; Goga, A. J. (2020). Effects of Human Resource Management on Health Tourism in Thermal Centers in Kosovo Case study: Centre’s of Thermal Tourism in Kosovo. Acta Universitatis Danubius. Œconomica, 16(3).</w:t>
      </w:r>
    </w:p>
    <w:p w14:paraId="79803963" w14:textId="77777777" w:rsidR="000E4EFD" w:rsidRDefault="00000000">
      <w:pPr>
        <w:spacing w:after="120" w:line="240" w:lineRule="auto"/>
        <w:ind w:left="709" w:hanging="709"/>
        <w:jc w:val="both"/>
        <w:rPr>
          <w:color w:val="222222"/>
          <w:highlight w:val="white"/>
        </w:rPr>
      </w:pPr>
      <w:r>
        <w:rPr>
          <w:color w:val="222222"/>
          <w:highlight w:val="white"/>
        </w:rPr>
        <w:t>Tripathi, P., Ranjan, J., &amp; Pandeya, T. (2012). Human resource management through AI approach: An experimental study of an expert system. In National conference on communication technologies &amp; its impact on next generation computing CTNGC. Proceedings published by International Journal of Computer Application.</w:t>
      </w:r>
    </w:p>
    <w:p w14:paraId="472696DB" w14:textId="77777777" w:rsidR="000E4EFD" w:rsidRDefault="00000000">
      <w:pPr>
        <w:spacing w:after="120" w:line="240" w:lineRule="auto"/>
        <w:ind w:left="709" w:hanging="709"/>
        <w:jc w:val="both"/>
      </w:pPr>
      <w:r>
        <w:t>Tuffaha, M. and Perello-Marin, M.R. (2021) ‘Artificial intelligence definition, applications and adoption in human resource management: a systematic literature review’, Int. J. Business Innovation and Research, Y, 2021.</w:t>
      </w:r>
    </w:p>
    <w:p w14:paraId="2E762E32" w14:textId="77777777" w:rsidR="000E4EFD" w:rsidRDefault="00000000">
      <w:pPr>
        <w:spacing w:after="120" w:line="240" w:lineRule="auto"/>
        <w:ind w:left="709" w:hanging="709"/>
        <w:jc w:val="both"/>
      </w:pPr>
      <w:r>
        <w:t>United Nations World Tourism Organization. 2020. El futuro del trabalho en el turismo y el desarrollo de competências. 2020 Edition, Madrid: UNWTO.</w:t>
      </w:r>
    </w:p>
    <w:p w14:paraId="06D6F774" w14:textId="77777777" w:rsidR="000E4EFD" w:rsidRDefault="00000000">
      <w:pPr>
        <w:spacing w:after="120" w:line="240" w:lineRule="auto"/>
        <w:ind w:left="709" w:hanging="709"/>
        <w:jc w:val="both"/>
      </w:pPr>
      <w:r>
        <w:rPr>
          <w:color w:val="222222"/>
          <w:highlight w:val="white"/>
        </w:rPr>
        <w:t>Verma, R., &amp; Bandi, S. (2019). Artificial intelligence &amp; human resource management in Indian IT sector. In Proceedings of 10th international conference on digital strategies for organizational success.</w:t>
      </w:r>
    </w:p>
    <w:p w14:paraId="7FDFD4F5" w14:textId="77777777" w:rsidR="000E4EFD" w:rsidRDefault="00000000">
      <w:pPr>
        <w:spacing w:after="120" w:line="240" w:lineRule="auto"/>
        <w:ind w:left="709" w:hanging="709"/>
        <w:jc w:val="both"/>
        <w:rPr>
          <w:color w:val="222222"/>
          <w:highlight w:val="white"/>
        </w:rPr>
      </w:pPr>
      <w:r>
        <w:rPr>
          <w:color w:val="222222"/>
          <w:highlight w:val="white"/>
        </w:rPr>
        <w:t>Worsfold, P. (1999). HRM, performance, commitment and service quality in the hotel industry. International Journal of Contemporary Hospitality Management, 11(7), 340-348.</w:t>
      </w:r>
    </w:p>
    <w:p w14:paraId="48F9C792" w14:textId="77777777" w:rsidR="000E4EFD" w:rsidRDefault="00000000">
      <w:pPr>
        <w:spacing w:after="120" w:line="240" w:lineRule="auto"/>
        <w:ind w:left="709" w:hanging="709"/>
        <w:jc w:val="both"/>
      </w:pPr>
      <w:r>
        <w:rPr>
          <w:color w:val="222222"/>
          <w:highlight w:val="white"/>
        </w:rPr>
        <w:t>Yusoff, Y. M., Nejati, M., Kee, D. M. H., &amp; Amran, A. (2020). Linking green human resource management practices to environmental performance in hotel industry. Global Business Review, 21(3), 663-680.</w:t>
      </w:r>
      <w:r>
        <w:t xml:space="preserve"> </w:t>
      </w:r>
    </w:p>
    <w:p w14:paraId="3169FC97" w14:textId="77777777" w:rsidR="000E4EFD" w:rsidRDefault="000E4EFD"/>
    <w:sectPr w:rsidR="000E4EFD">
      <w:headerReference w:type="even" r:id="rId12"/>
      <w:headerReference w:type="default" r:id="rId13"/>
      <w:footerReference w:type="even" r:id="rId14"/>
      <w:footerReference w:type="default" r:id="rId15"/>
      <w:headerReference w:type="first" r:id="rId16"/>
      <w:pgSz w:w="11906" w:h="16838"/>
      <w:pgMar w:top="1701" w:right="1701" w:bottom="1701" w:left="2268" w:header="993" w:footer="803" w:gutter="0"/>
      <w:pgNumType w:start="1"/>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Yazar" w:initials="A">
    <w:p w14:paraId="1DDE4263" w14:textId="77777777" w:rsidR="00FE2093" w:rsidRDefault="00FE2093" w:rsidP="00FE2093">
      <w:pPr>
        <w:pStyle w:val="AklamaMetni"/>
      </w:pPr>
      <w:r>
        <w:rPr>
          <w:rStyle w:val="AklamaBavurusu"/>
        </w:rPr>
        <w:annotationRef/>
      </w:r>
      <w:r>
        <w:t xml:space="preserve">14pt, Times New Roman, </w:t>
      </w:r>
      <w:r>
        <w:rPr>
          <w:b/>
          <w:bCs/>
        </w:rPr>
        <w:t>Bold</w:t>
      </w:r>
      <w:r>
        <w:t xml:space="preserve">, Centered, Title Case. </w:t>
      </w:r>
    </w:p>
  </w:comment>
  <w:comment w:id="1" w:author="Yazar" w:initials="A">
    <w:p w14:paraId="643AC89E" w14:textId="77777777" w:rsidR="006448E3" w:rsidRDefault="006448E3" w:rsidP="006448E3">
      <w:pPr>
        <w:pStyle w:val="AklamaMetni"/>
      </w:pPr>
      <w:r>
        <w:rPr>
          <w:rStyle w:val="AklamaBavurusu"/>
        </w:rPr>
        <w:annotationRef/>
      </w:r>
      <w:r>
        <w:t xml:space="preserve">The DOI number and date info will be assigned by the editorial office after the peer-review process is finalized. Please leave this field as a placeholder. </w:t>
      </w:r>
    </w:p>
  </w:comment>
  <w:comment w:id="2" w:author="Yazar" w:initials="A">
    <w:p w14:paraId="7CEFE47F" w14:textId="6D0497A7" w:rsidR="00FE2093" w:rsidRDefault="00FE2093" w:rsidP="00FE2093">
      <w:pPr>
        <w:pStyle w:val="AklamaMetni"/>
      </w:pPr>
      <w:r>
        <w:rPr>
          <w:rStyle w:val="AklamaBavurusu"/>
        </w:rPr>
        <w:annotationRef/>
      </w:r>
      <w:r>
        <w:rPr>
          <w:b/>
          <w:bCs/>
        </w:rPr>
        <w:t>Heading 1 (Main Sections):</w:t>
      </w:r>
      <w:r>
        <w:t xml:space="preserve"> 12pt, Times New Roman, </w:t>
      </w:r>
      <w:r>
        <w:rPr>
          <w:b/>
          <w:bCs/>
        </w:rPr>
        <w:t>Bold</w:t>
      </w:r>
      <w:r>
        <w:t xml:space="preserve">, Left-aligned, Title Case. </w:t>
      </w:r>
    </w:p>
  </w:comment>
  <w:comment w:id="3" w:author="Yazar" w:initials="A">
    <w:p w14:paraId="7DED02BD" w14:textId="77777777" w:rsidR="0051375A" w:rsidRDefault="0051375A" w:rsidP="0051375A">
      <w:pPr>
        <w:pStyle w:val="AklamaMetni"/>
      </w:pPr>
      <w:r>
        <w:rPr>
          <w:rStyle w:val="AklamaBavurusu"/>
        </w:rPr>
        <w:annotationRef/>
      </w:r>
      <w:r>
        <w:rPr>
          <w:b/>
          <w:bCs/>
          <w:lang w:val="tr-TR"/>
        </w:rPr>
        <w:t>Main Body / Normal Text:</w:t>
      </w:r>
      <w:r>
        <w:rPr>
          <w:lang w:val="tr-TR"/>
        </w:rPr>
        <w:t xml:space="preserve"> 12pt, Times New Roman, Regular, Justified.</w:t>
      </w:r>
    </w:p>
    <w:p w14:paraId="088F0D77" w14:textId="77777777" w:rsidR="0051375A" w:rsidRDefault="0051375A" w:rsidP="0051375A">
      <w:pPr>
        <w:pStyle w:val="AklamaMetni"/>
      </w:pPr>
    </w:p>
    <w:p w14:paraId="73044AFF" w14:textId="77777777" w:rsidR="0051375A" w:rsidRDefault="0051375A" w:rsidP="0051375A">
      <w:pPr>
        <w:pStyle w:val="AklamaMetni"/>
        <w:numPr>
          <w:ilvl w:val="1"/>
          <w:numId w:val="4"/>
        </w:numPr>
      </w:pPr>
      <w:r>
        <w:rPr>
          <w:i/>
          <w:iCs/>
          <w:lang w:val="tr-TR"/>
        </w:rPr>
        <w:t>Spacing:</w:t>
      </w:r>
      <w:r>
        <w:rPr>
          <w:lang w:val="tr-TR"/>
        </w:rPr>
        <w:t xml:space="preserve"> 1.15 line spacing.</w:t>
      </w:r>
    </w:p>
    <w:p w14:paraId="27554839" w14:textId="77777777" w:rsidR="0051375A" w:rsidRDefault="0051375A" w:rsidP="0051375A">
      <w:pPr>
        <w:pStyle w:val="AklamaMetni"/>
        <w:numPr>
          <w:ilvl w:val="1"/>
          <w:numId w:val="4"/>
        </w:numPr>
      </w:pPr>
      <w:r>
        <w:rPr>
          <w:i/>
          <w:iCs/>
          <w:lang w:val="tr-TR"/>
        </w:rPr>
        <w:t>Indentation:</w:t>
      </w:r>
      <w:r>
        <w:rPr>
          <w:lang w:val="tr-TR"/>
        </w:rPr>
        <w:t xml:space="preserve"> First line indent of 1.25cm for each new paragraph.</w:t>
      </w:r>
    </w:p>
  </w:comment>
  <w:comment w:id="4" w:author="Yazar" w:initials="A">
    <w:p w14:paraId="3E6A09BF" w14:textId="41D50F94" w:rsidR="0051375A" w:rsidRDefault="0051375A" w:rsidP="0051375A">
      <w:pPr>
        <w:pStyle w:val="AklamaMetni"/>
      </w:pPr>
      <w:r>
        <w:rPr>
          <w:rStyle w:val="AklamaBavurusu"/>
        </w:rPr>
        <w:annotationRef/>
      </w:r>
      <w:r>
        <w:rPr>
          <w:b/>
          <w:bCs/>
        </w:rPr>
        <w:t>Keywords and JEL Codes:</w:t>
      </w:r>
      <w:r>
        <w:t xml:space="preserve"> 12pt, Times New Roman, Regular, Justified. </w:t>
      </w:r>
    </w:p>
  </w:comment>
  <w:comment w:id="5" w:author="Yazar" w:initials="A">
    <w:p w14:paraId="350873A3" w14:textId="77777777" w:rsidR="0051375A" w:rsidRDefault="0051375A" w:rsidP="0051375A">
      <w:pPr>
        <w:pStyle w:val="AklamaMetni"/>
      </w:pPr>
      <w:r>
        <w:rPr>
          <w:rStyle w:val="AklamaBavurusu"/>
        </w:rPr>
        <w:annotationRef/>
      </w:r>
      <w:r>
        <w:rPr>
          <w:b/>
          <w:bCs/>
        </w:rPr>
        <w:t>Heading 1 (Main Sections):</w:t>
      </w:r>
      <w:r>
        <w:t xml:space="preserve"> 12pt, Times New Roman, </w:t>
      </w:r>
      <w:r>
        <w:rPr>
          <w:b/>
          <w:bCs/>
        </w:rPr>
        <w:t>Bold</w:t>
      </w:r>
      <w:r>
        <w:t xml:space="preserve">, Left-aligned, Title Case. </w:t>
      </w:r>
      <w:r>
        <w:rPr>
          <w:i/>
          <w:iCs/>
        </w:rPr>
        <w:t>(e.g., Introduction, Methodology, Conclusion)</w:t>
      </w:r>
      <w:r>
        <w:t xml:space="preserve"> </w:t>
      </w:r>
    </w:p>
  </w:comment>
  <w:comment w:id="6" w:author="Yazar" w:initials="A">
    <w:p w14:paraId="449BDB6A" w14:textId="63D1A01D" w:rsidR="0051375A" w:rsidRDefault="0051375A" w:rsidP="0051375A">
      <w:pPr>
        <w:pStyle w:val="AklamaMetni"/>
      </w:pPr>
      <w:r>
        <w:rPr>
          <w:rStyle w:val="AklamaBavurusu"/>
        </w:rPr>
        <w:annotationRef/>
      </w:r>
      <w:r>
        <w:rPr>
          <w:b/>
          <w:bCs/>
          <w:lang w:val="tr-TR"/>
        </w:rPr>
        <w:t>Main Body / Normal Text:</w:t>
      </w:r>
      <w:r>
        <w:rPr>
          <w:lang w:val="tr-TR"/>
        </w:rPr>
        <w:t xml:space="preserve"> 12pt, Times New Roman, Regular, Justified.</w:t>
      </w:r>
    </w:p>
    <w:p w14:paraId="2A3D5C48" w14:textId="77777777" w:rsidR="0051375A" w:rsidRDefault="0051375A" w:rsidP="0051375A">
      <w:pPr>
        <w:pStyle w:val="AklamaMetni"/>
      </w:pPr>
    </w:p>
    <w:p w14:paraId="0F0A09C8" w14:textId="77777777" w:rsidR="0051375A" w:rsidRDefault="0051375A" w:rsidP="0051375A">
      <w:pPr>
        <w:pStyle w:val="AklamaMetni"/>
        <w:numPr>
          <w:ilvl w:val="1"/>
          <w:numId w:val="5"/>
        </w:numPr>
      </w:pPr>
      <w:r>
        <w:rPr>
          <w:i/>
          <w:iCs/>
          <w:lang w:val="tr-TR"/>
        </w:rPr>
        <w:t>Spacing:</w:t>
      </w:r>
      <w:r>
        <w:rPr>
          <w:lang w:val="tr-TR"/>
        </w:rPr>
        <w:t xml:space="preserve"> 1.15 line spacing.</w:t>
      </w:r>
    </w:p>
    <w:p w14:paraId="25C38506" w14:textId="77777777" w:rsidR="0051375A" w:rsidRDefault="0051375A" w:rsidP="0051375A">
      <w:pPr>
        <w:pStyle w:val="AklamaMetni"/>
        <w:numPr>
          <w:ilvl w:val="1"/>
          <w:numId w:val="5"/>
        </w:numPr>
      </w:pPr>
      <w:r>
        <w:rPr>
          <w:i/>
          <w:iCs/>
          <w:lang w:val="tr-TR"/>
        </w:rPr>
        <w:t>Indentation:</w:t>
      </w:r>
      <w:r>
        <w:rPr>
          <w:lang w:val="tr-TR"/>
        </w:rPr>
        <w:t xml:space="preserve"> First line indent of 1.25cm for each new paragraph.</w:t>
      </w:r>
    </w:p>
  </w:comment>
  <w:comment w:id="7" w:author="Yazar" w:initials="A">
    <w:p w14:paraId="6F913F89" w14:textId="77777777" w:rsidR="00AA57A6" w:rsidRDefault="00AA57A6" w:rsidP="00AA57A6">
      <w:pPr>
        <w:pStyle w:val="AklamaMetni"/>
      </w:pPr>
      <w:r>
        <w:rPr>
          <w:rStyle w:val="AklamaBavurusu"/>
        </w:rPr>
        <w:annotationRef/>
      </w:r>
      <w:r>
        <w:rPr>
          <w:b/>
          <w:bCs/>
          <w:lang w:val="tr-TR"/>
        </w:rPr>
        <w:t>Graph and Figure Number and Title:</w:t>
      </w:r>
      <w:r>
        <w:rPr>
          <w:lang w:val="tr-TR"/>
        </w:rPr>
        <w:t xml:space="preserve"> 12pt, Times New Roman. Graph and Figure number in </w:t>
      </w:r>
      <w:r>
        <w:rPr>
          <w:b/>
          <w:bCs/>
          <w:lang w:val="tr-TR"/>
        </w:rPr>
        <w:t>Bold</w:t>
      </w:r>
      <w:r>
        <w:rPr>
          <w:lang w:val="tr-TR"/>
        </w:rPr>
        <w:t xml:space="preserve"> (e.g., </w:t>
      </w:r>
      <w:r>
        <w:rPr>
          <w:b/>
          <w:bCs/>
          <w:lang w:val="tr-TR"/>
        </w:rPr>
        <w:t>Figure 1.</w:t>
      </w:r>
      <w:r>
        <w:rPr>
          <w:lang w:val="tr-TR"/>
        </w:rPr>
        <w:t xml:space="preserve">), Title Case. Placed above the figure. </w:t>
      </w:r>
      <w:r>
        <w:rPr>
          <w:b/>
          <w:bCs/>
          <w:i/>
          <w:iCs/>
          <w:u w:val="single"/>
          <w:lang w:val="tr-TR"/>
        </w:rPr>
        <w:t>Figure and Graph Number and Title is obligatory.</w:t>
      </w:r>
    </w:p>
  </w:comment>
  <w:comment w:id="8" w:author="Yazar" w:initials="A">
    <w:p w14:paraId="6992FF38" w14:textId="77777777" w:rsidR="00AA57A6" w:rsidRDefault="00AA57A6" w:rsidP="00AA57A6">
      <w:pPr>
        <w:pStyle w:val="AklamaMetni"/>
      </w:pPr>
      <w:r>
        <w:rPr>
          <w:rStyle w:val="AklamaBavurusu"/>
        </w:rPr>
        <w:annotationRef/>
      </w:r>
      <w:r>
        <w:rPr>
          <w:b/>
          <w:bCs/>
          <w:lang w:val="tr-TR"/>
        </w:rPr>
        <w:t>Source / Graph Notes:</w:t>
      </w:r>
      <w:r>
        <w:rPr>
          <w:lang w:val="tr-TR"/>
        </w:rPr>
        <w:t xml:space="preserve"> 12pt, Times New Roman, Regular or </w:t>
      </w:r>
      <w:r>
        <w:rPr>
          <w:i/>
          <w:iCs/>
          <w:lang w:val="tr-TR"/>
        </w:rPr>
        <w:t>Italic</w:t>
      </w:r>
      <w:r>
        <w:rPr>
          <w:lang w:val="tr-TR"/>
        </w:rPr>
        <w:t xml:space="preserve">. Placed left-aligned immediately below the graph or figure. </w:t>
      </w:r>
      <w:r>
        <w:rPr>
          <w:b/>
          <w:bCs/>
          <w:i/>
          <w:iCs/>
          <w:u w:val="single"/>
          <w:lang w:val="tr-TR"/>
        </w:rPr>
        <w:t>Graph and Figure Source is obligatory.</w:t>
      </w:r>
    </w:p>
  </w:comment>
  <w:comment w:id="9" w:author="Yazar" w:initials="A">
    <w:p w14:paraId="471C3B48" w14:textId="77777777" w:rsidR="00E45CD3" w:rsidRDefault="00E45CD3" w:rsidP="00E45CD3">
      <w:pPr>
        <w:pStyle w:val="AklamaMetni"/>
      </w:pPr>
      <w:r>
        <w:rPr>
          <w:rStyle w:val="AklamaBavurusu"/>
        </w:rPr>
        <w:annotationRef/>
      </w:r>
      <w:hyperlink r:id="rId1" w:history="1">
        <w:r w:rsidRPr="007D1BCB">
          <w:rPr>
            <w:rStyle w:val="Kpr"/>
          </w:rPr>
          <w:t>https://apastyle.apa.org/style-grammar-guidelines/tables-figures/sample-tables</w:t>
        </w:r>
      </w:hyperlink>
    </w:p>
  </w:comment>
  <w:comment w:id="10" w:author="Yazar" w:initials="A">
    <w:p w14:paraId="3B13104C" w14:textId="77777777" w:rsidR="00143231" w:rsidRDefault="0051375A" w:rsidP="00143231">
      <w:pPr>
        <w:pStyle w:val="AklamaMetni"/>
      </w:pPr>
      <w:r>
        <w:rPr>
          <w:rStyle w:val="AklamaBavurusu"/>
        </w:rPr>
        <w:annotationRef/>
      </w:r>
      <w:r w:rsidR="00143231">
        <w:rPr>
          <w:b/>
          <w:bCs/>
          <w:lang w:val="tr-TR"/>
        </w:rPr>
        <w:t>Table Number and Title:</w:t>
      </w:r>
      <w:r w:rsidR="00143231">
        <w:rPr>
          <w:lang w:val="tr-TR"/>
        </w:rPr>
        <w:t xml:space="preserve"> 12pt, Times New Roman. Table number in </w:t>
      </w:r>
      <w:r w:rsidR="00143231">
        <w:rPr>
          <w:b/>
          <w:bCs/>
          <w:lang w:val="tr-TR"/>
        </w:rPr>
        <w:t>Bold</w:t>
      </w:r>
      <w:r w:rsidR="00143231">
        <w:rPr>
          <w:lang w:val="tr-TR"/>
        </w:rPr>
        <w:t xml:space="preserve"> (e.g., </w:t>
      </w:r>
      <w:r w:rsidR="00143231">
        <w:rPr>
          <w:b/>
          <w:bCs/>
          <w:lang w:val="tr-TR"/>
        </w:rPr>
        <w:t>Table 1.</w:t>
      </w:r>
      <w:r w:rsidR="00143231">
        <w:rPr>
          <w:lang w:val="tr-TR"/>
        </w:rPr>
        <w:t xml:space="preserve">), Title Case. Placed above the table. </w:t>
      </w:r>
      <w:r w:rsidR="00143231">
        <w:rPr>
          <w:b/>
          <w:bCs/>
          <w:i/>
          <w:iCs/>
          <w:u w:val="single"/>
          <w:lang w:val="tr-TR"/>
        </w:rPr>
        <w:t>Table Number and Title is obligatory.</w:t>
      </w:r>
    </w:p>
  </w:comment>
  <w:comment w:id="11" w:author="Yazar" w:initials="A">
    <w:p w14:paraId="22BAAE1C" w14:textId="7979F285" w:rsidR="0051375A" w:rsidRDefault="0051375A" w:rsidP="0051375A">
      <w:pPr>
        <w:pStyle w:val="AklamaMetni"/>
      </w:pPr>
      <w:r>
        <w:rPr>
          <w:rStyle w:val="AklamaBavurusu"/>
        </w:rPr>
        <w:annotationRef/>
      </w:r>
      <w:r>
        <w:rPr>
          <w:b/>
          <w:bCs/>
        </w:rPr>
        <w:t>Table Header (Column titles):</w:t>
      </w:r>
      <w:r>
        <w:t xml:space="preserve"> 10pt or 11pt, Times New Roman, </w:t>
      </w:r>
      <w:r>
        <w:rPr>
          <w:b/>
          <w:bCs/>
        </w:rPr>
        <w:t>Bold</w:t>
      </w:r>
      <w:r>
        <w:t>, Centered.</w:t>
      </w:r>
    </w:p>
  </w:comment>
  <w:comment w:id="12" w:author="Yazar" w:initials="A">
    <w:p w14:paraId="5CDD3293" w14:textId="77777777" w:rsidR="0051375A" w:rsidRDefault="0051375A" w:rsidP="0051375A">
      <w:pPr>
        <w:pStyle w:val="AklamaMetni"/>
      </w:pPr>
      <w:r>
        <w:rPr>
          <w:rStyle w:val="AklamaBavurusu"/>
        </w:rPr>
        <w:annotationRef/>
      </w:r>
      <w:r>
        <w:rPr>
          <w:b/>
          <w:bCs/>
        </w:rPr>
        <w:t>Table Body / Data:</w:t>
      </w:r>
      <w:r>
        <w:t xml:space="preserve"> 10pt or 11pt, Times New Roman, Regular, Left-aligned or Centered (depending on the data type). </w:t>
      </w:r>
    </w:p>
  </w:comment>
  <w:comment w:id="13" w:author="Yazar" w:initials="A">
    <w:p w14:paraId="5659D5D3" w14:textId="77777777" w:rsidR="00FE260F" w:rsidRDefault="00FE260F" w:rsidP="00FE260F">
      <w:pPr>
        <w:pStyle w:val="AklamaMetni"/>
      </w:pPr>
      <w:r>
        <w:rPr>
          <w:rStyle w:val="AklamaBavurusu"/>
        </w:rPr>
        <w:annotationRef/>
      </w:r>
      <w:r>
        <w:rPr>
          <w:b/>
          <w:bCs/>
          <w:lang w:val="tr-TR"/>
        </w:rPr>
        <w:t>Source / Table Notes:</w:t>
      </w:r>
      <w:r>
        <w:rPr>
          <w:lang w:val="tr-TR"/>
        </w:rPr>
        <w:t xml:space="preserve"> 12pt, Times New Roman, Regular or </w:t>
      </w:r>
      <w:r>
        <w:rPr>
          <w:i/>
          <w:iCs/>
          <w:lang w:val="tr-TR"/>
        </w:rPr>
        <w:t>Italic</w:t>
      </w:r>
      <w:r>
        <w:rPr>
          <w:lang w:val="tr-TR"/>
        </w:rPr>
        <w:t xml:space="preserve">. Placed left-aligned immediately below the table or figure. </w:t>
      </w:r>
      <w:r>
        <w:rPr>
          <w:b/>
          <w:bCs/>
          <w:i/>
          <w:iCs/>
          <w:u w:val="single"/>
          <w:lang w:val="tr-TR"/>
        </w:rPr>
        <w:t>Table Source is obligatory.</w:t>
      </w:r>
    </w:p>
  </w:comment>
  <w:comment w:id="14" w:author="Yazar" w:initials="A">
    <w:p w14:paraId="75E86B57" w14:textId="77777777" w:rsidR="00E45CD3" w:rsidRDefault="00E45CD3" w:rsidP="00E45CD3">
      <w:pPr>
        <w:pStyle w:val="AklamaMetni"/>
      </w:pPr>
      <w:r>
        <w:rPr>
          <w:rStyle w:val="AklamaBavurusu"/>
        </w:rPr>
        <w:annotationRef/>
      </w:r>
      <w:r>
        <w:t>(</w:t>
      </w:r>
      <w:r>
        <w:rPr>
          <w:i/>
          <w:iCs/>
        </w:rPr>
        <w:t>Equations, long quotations, theorems, propositions, special remarks, tables, figures, etc. should be set off from the surrounding text by additional space above and below.)</w:t>
      </w:r>
    </w:p>
  </w:comment>
  <w:comment w:id="15" w:author="Yazar" w:initials="A">
    <w:p w14:paraId="1EED6131" w14:textId="77777777" w:rsidR="00E45CD3" w:rsidRDefault="00E45CD3" w:rsidP="00E45CD3">
      <w:pPr>
        <w:pStyle w:val="AklamaMetni"/>
      </w:pPr>
      <w:r>
        <w:rPr>
          <w:rStyle w:val="AklamaBavurusu"/>
        </w:rPr>
        <w:annotationRef/>
      </w:r>
      <w:r>
        <w:rPr>
          <w:i/>
          <w:iCs/>
        </w:rPr>
        <w:t>Number your equations sequentially. Insert a blank line before and after each equation.</w:t>
      </w:r>
    </w:p>
  </w:comment>
  <w:comment w:id="16" w:author="Yazar" w:initials="A">
    <w:p w14:paraId="3FF7D020" w14:textId="77777777" w:rsidR="00460399" w:rsidRDefault="00460399" w:rsidP="00460399">
      <w:pPr>
        <w:pStyle w:val="AklamaMetni"/>
      </w:pPr>
      <w:r>
        <w:rPr>
          <w:rStyle w:val="AklamaBavurusu"/>
        </w:rPr>
        <w:annotationRef/>
      </w:r>
      <w:r>
        <w:t> </w:t>
      </w:r>
      <w:r>
        <w:rPr>
          <w:b/>
          <w:bCs/>
        </w:rPr>
        <w:t>APA 7th Edition</w:t>
      </w:r>
      <w:r>
        <w:t xml:space="preserve"> style for references and in-text citations. For more information: </w:t>
      </w:r>
      <w:hyperlink r:id="rId2" w:history="1">
        <w:r w:rsidRPr="00933484">
          <w:rPr>
            <w:rStyle w:val="Kpr"/>
          </w:rPr>
          <w:t>https://apastyle.apa.org/style-grammar-guidelines/references/examples/journal-article-references</w:t>
        </w:r>
      </w:hyperlink>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DDE4263" w15:done="0"/>
  <w15:commentEx w15:paraId="643AC89E" w15:done="0"/>
  <w15:commentEx w15:paraId="7CEFE47F" w15:done="0"/>
  <w15:commentEx w15:paraId="27554839" w15:done="0"/>
  <w15:commentEx w15:paraId="3E6A09BF" w15:done="0"/>
  <w15:commentEx w15:paraId="350873A3" w15:done="0"/>
  <w15:commentEx w15:paraId="25C38506" w15:done="0"/>
  <w15:commentEx w15:paraId="6F913F89" w15:done="0"/>
  <w15:commentEx w15:paraId="6992FF38" w15:done="0"/>
  <w15:commentEx w15:paraId="471C3B48" w15:done="0"/>
  <w15:commentEx w15:paraId="3B13104C" w15:done="0"/>
  <w15:commentEx w15:paraId="22BAAE1C" w15:done="0"/>
  <w15:commentEx w15:paraId="5CDD3293" w15:done="0"/>
  <w15:commentEx w15:paraId="5659D5D3" w15:done="0"/>
  <w15:commentEx w15:paraId="75E86B57" w15:done="0"/>
  <w15:commentEx w15:paraId="1EED6131" w15:done="0"/>
  <w15:commentEx w15:paraId="3FF7D02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DE4263" w16cid:durableId="0B4CC605"/>
  <w16cid:commentId w16cid:paraId="643AC89E" w16cid:durableId="1BDF4E31"/>
  <w16cid:commentId w16cid:paraId="7CEFE47F" w16cid:durableId="077B5BC4"/>
  <w16cid:commentId w16cid:paraId="27554839" w16cid:durableId="2DFC0C7D"/>
  <w16cid:commentId w16cid:paraId="3E6A09BF" w16cid:durableId="7099438E"/>
  <w16cid:commentId w16cid:paraId="350873A3" w16cid:durableId="381D4A32"/>
  <w16cid:commentId w16cid:paraId="25C38506" w16cid:durableId="43632453"/>
  <w16cid:commentId w16cid:paraId="6F913F89" w16cid:durableId="01FEEE5B"/>
  <w16cid:commentId w16cid:paraId="6992FF38" w16cid:durableId="16913137"/>
  <w16cid:commentId w16cid:paraId="471C3B48" w16cid:durableId="1E21D447"/>
  <w16cid:commentId w16cid:paraId="3B13104C" w16cid:durableId="12C8162C"/>
  <w16cid:commentId w16cid:paraId="22BAAE1C" w16cid:durableId="1EC16282"/>
  <w16cid:commentId w16cid:paraId="5CDD3293" w16cid:durableId="2A2948C5"/>
  <w16cid:commentId w16cid:paraId="5659D5D3" w16cid:durableId="7D9A6C68"/>
  <w16cid:commentId w16cid:paraId="75E86B57" w16cid:durableId="13DB2DD9"/>
  <w16cid:commentId w16cid:paraId="1EED6131" w16cid:durableId="502FFBC2"/>
  <w16cid:commentId w16cid:paraId="3FF7D020" w16cid:durableId="494FA62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7110E" w14:textId="77777777" w:rsidR="00C73035" w:rsidRDefault="00C73035">
      <w:pPr>
        <w:spacing w:after="0" w:line="240" w:lineRule="auto"/>
      </w:pPr>
      <w:r>
        <w:separator/>
      </w:r>
    </w:p>
  </w:endnote>
  <w:endnote w:type="continuationSeparator" w:id="0">
    <w:p w14:paraId="2B848D47" w14:textId="77777777" w:rsidR="00C73035" w:rsidRDefault="00C73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lay">
    <w:altName w:val="Calibri"/>
    <w:charset w:val="00"/>
    <w:family w:val="auto"/>
    <w:pitch w:val="default"/>
    <w:embedRegular r:id="rId1" w:fontKey="{894DC50C-C0B1-4B6D-B2C4-914BABB90888}"/>
  </w:font>
  <w:font w:name="Cambria Math">
    <w:panose1 w:val="02040503050406030204"/>
    <w:charset w:val="A2"/>
    <w:family w:val="roman"/>
    <w:pitch w:val="variable"/>
    <w:sig w:usb0="E00006FF" w:usb1="420024FF" w:usb2="02000000" w:usb3="00000000" w:csb0="0000019F" w:csb1="00000000"/>
    <w:embedItalic r:id="rId2" w:fontKey="{D757CC38-11AD-4890-B14C-2EEA0A432C5E}"/>
  </w:font>
  <w:font w:name="Calibri">
    <w:panose1 w:val="020F0502020204030204"/>
    <w:charset w:val="A2"/>
    <w:family w:val="swiss"/>
    <w:pitch w:val="variable"/>
    <w:sig w:usb0="E4002EFF" w:usb1="C000247B" w:usb2="00000009" w:usb3="00000000" w:csb0="000001FF" w:csb1="00000000"/>
    <w:embedRegular r:id="rId3" w:fontKey="{42AEB1C3-9B49-48F2-86C2-232ABB5053E4}"/>
  </w:font>
  <w:font w:name="Cambria">
    <w:panose1 w:val="02040503050406030204"/>
    <w:charset w:val="A2"/>
    <w:family w:val="roman"/>
    <w:pitch w:val="variable"/>
    <w:sig w:usb0="E00006FF" w:usb1="420024FF" w:usb2="02000000" w:usb3="00000000" w:csb0="0000019F" w:csb1="00000000"/>
    <w:embedRegular r:id="rId4" w:fontKey="{8F987D73-F6E5-4DA3-A309-1ADA6F17BE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93096" w14:textId="77777777" w:rsidR="000E4EFD" w:rsidRDefault="00000000">
    <w:pPr>
      <w:pBdr>
        <w:top w:val="nil"/>
        <w:left w:val="nil"/>
        <w:bottom w:val="nil"/>
        <w:right w:val="nil"/>
        <w:between w:val="nil"/>
      </w:pBdr>
      <w:tabs>
        <w:tab w:val="center" w:pos="4536"/>
        <w:tab w:val="right" w:pos="9072"/>
      </w:tabs>
      <w:spacing w:after="0" w:line="240" w:lineRule="auto"/>
      <w:jc w:val="center"/>
      <w:rPr>
        <w:color w:val="000000"/>
      </w:rPr>
    </w:pPr>
    <w:r>
      <w:rPr>
        <w:color w:val="000000"/>
        <w:sz w:val="22"/>
        <w:szCs w:val="22"/>
      </w:rPr>
      <w:fldChar w:fldCharType="begin"/>
    </w:r>
    <w:r>
      <w:rPr>
        <w:color w:val="000000"/>
        <w:sz w:val="22"/>
        <w:szCs w:val="22"/>
      </w:rPr>
      <w:instrText>PAGE</w:instrText>
    </w:r>
    <w:r>
      <w:rPr>
        <w:color w:val="000000"/>
        <w:sz w:val="22"/>
        <w:szCs w:val="22"/>
      </w:rPr>
      <w:fldChar w:fldCharType="separate"/>
    </w:r>
    <w:r w:rsidR="00FE2093">
      <w:rPr>
        <w:noProof/>
        <w:color w:val="000000"/>
        <w:sz w:val="22"/>
        <w:szCs w:val="22"/>
      </w:rPr>
      <w:t>2</w:t>
    </w:r>
    <w:r>
      <w:rPr>
        <w:color w:val="000000"/>
        <w:sz w:val="22"/>
        <w:szCs w:val="22"/>
      </w:rPr>
      <w:fldChar w:fldCharType="end"/>
    </w:r>
  </w:p>
  <w:p w14:paraId="4759CB39" w14:textId="77777777" w:rsidR="000E4EFD" w:rsidRDefault="000E4EFD">
    <w:pPr>
      <w:pBdr>
        <w:top w:val="nil"/>
        <w:left w:val="nil"/>
        <w:bottom w:val="nil"/>
        <w:right w:val="nil"/>
        <w:between w:val="nil"/>
      </w:pBdr>
      <w:tabs>
        <w:tab w:val="center" w:pos="4536"/>
        <w:tab w:val="right" w:pos="9072"/>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B828D" w14:textId="29D4C8BC" w:rsidR="000E4EFD" w:rsidRDefault="00000000">
    <w:pPr>
      <w:pBdr>
        <w:top w:val="nil"/>
        <w:left w:val="nil"/>
        <w:bottom w:val="nil"/>
        <w:right w:val="nil"/>
        <w:between w:val="nil"/>
      </w:pBdr>
      <w:tabs>
        <w:tab w:val="center" w:pos="4536"/>
        <w:tab w:val="right" w:pos="9072"/>
      </w:tabs>
      <w:spacing w:after="0" w:line="240" w:lineRule="auto"/>
      <w:jc w:val="center"/>
      <w:rPr>
        <w:color w:val="000000"/>
      </w:rPr>
    </w:pPr>
    <w:r>
      <w:rPr>
        <w:color w:val="000000"/>
        <w:sz w:val="22"/>
        <w:szCs w:val="22"/>
      </w:rPr>
      <w:fldChar w:fldCharType="begin"/>
    </w:r>
    <w:r>
      <w:rPr>
        <w:color w:val="000000"/>
        <w:sz w:val="22"/>
        <w:szCs w:val="22"/>
      </w:rPr>
      <w:instrText>PAGE</w:instrText>
    </w:r>
    <w:r>
      <w:rPr>
        <w:color w:val="000000"/>
        <w:sz w:val="22"/>
        <w:szCs w:val="22"/>
      </w:rPr>
      <w:fldChar w:fldCharType="separate"/>
    </w:r>
    <w:r w:rsidR="00FE2093">
      <w:rPr>
        <w:noProof/>
        <w:color w:val="000000"/>
        <w:sz w:val="22"/>
        <w:szCs w:val="22"/>
      </w:rPr>
      <w:t>3</w:t>
    </w:r>
    <w:r>
      <w:rPr>
        <w:color w:val="000000"/>
        <w:sz w:val="22"/>
        <w:szCs w:val="22"/>
      </w:rPr>
      <w:fldChar w:fldCharType="end"/>
    </w:r>
  </w:p>
  <w:p w14:paraId="59CC4BEA" w14:textId="77777777" w:rsidR="000E4EFD" w:rsidRDefault="000E4EFD">
    <w:pPr>
      <w:pBdr>
        <w:top w:val="nil"/>
        <w:left w:val="nil"/>
        <w:bottom w:val="nil"/>
        <w:right w:val="nil"/>
        <w:between w:val="nil"/>
      </w:pBdr>
      <w:tabs>
        <w:tab w:val="center" w:pos="4536"/>
        <w:tab w:val="right" w:pos="9072"/>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70FE0" w14:textId="77777777" w:rsidR="00C73035" w:rsidRDefault="00C73035">
      <w:pPr>
        <w:spacing w:after="0" w:line="240" w:lineRule="auto"/>
      </w:pPr>
      <w:r>
        <w:separator/>
      </w:r>
    </w:p>
  </w:footnote>
  <w:footnote w:type="continuationSeparator" w:id="0">
    <w:p w14:paraId="2A3B2ED1" w14:textId="77777777" w:rsidR="00C73035" w:rsidRDefault="00C730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36D57" w14:textId="503CD42D" w:rsidR="000E4EFD" w:rsidRDefault="00000000">
    <w:pPr>
      <w:pBdr>
        <w:top w:val="nil"/>
        <w:left w:val="nil"/>
        <w:bottom w:val="nil"/>
        <w:right w:val="nil"/>
        <w:between w:val="nil"/>
      </w:pBdr>
      <w:spacing w:after="0" w:line="240" w:lineRule="auto"/>
      <w:jc w:val="center"/>
      <w:rPr>
        <w:i/>
        <w:iCs/>
        <w:color w:val="000000"/>
        <w:sz w:val="20"/>
        <w:szCs w:val="20"/>
      </w:rPr>
    </w:pPr>
    <w:r>
      <w:rPr>
        <w:i/>
        <w:iCs/>
        <w:color w:val="000000"/>
        <w:sz w:val="20"/>
        <w:szCs w:val="20"/>
      </w:rPr>
      <w:t xml:space="preserve"> How Do Strategic Human Resource Management Practices And Artificial Intelligence Integration Shape Organizational Performance In The Hospitality And Tourism Industry?</w:t>
    </w:r>
  </w:p>
  <w:p w14:paraId="2714B261" w14:textId="48A4991D" w:rsidR="0051375A" w:rsidRPr="0051375A" w:rsidRDefault="0051375A">
    <w:pPr>
      <w:pBdr>
        <w:top w:val="nil"/>
        <w:left w:val="nil"/>
        <w:bottom w:val="nil"/>
        <w:right w:val="nil"/>
        <w:between w:val="nil"/>
      </w:pBdr>
      <w:spacing w:after="0" w:line="240" w:lineRule="auto"/>
      <w:jc w:val="center"/>
      <w:rPr>
        <w:i/>
        <w:iCs/>
        <w:color w:val="EE0000"/>
        <w:sz w:val="20"/>
        <w:szCs w:val="20"/>
      </w:rPr>
    </w:pPr>
    <w:r w:rsidRPr="0051375A">
      <w:rPr>
        <w:i/>
        <w:iCs/>
        <w:color w:val="EE0000"/>
        <w:sz w:val="20"/>
        <w:szCs w:val="20"/>
      </w:rPr>
      <w:t>Manuscript Title, Times New Roman, 10pt, Italic, Centered</w:t>
    </w:r>
  </w:p>
  <w:p w14:paraId="1E168C8E" w14:textId="77777777" w:rsidR="000E4EFD" w:rsidRDefault="000E4EFD">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D5AE0" w14:textId="77777777" w:rsidR="000E4EFD" w:rsidRDefault="00000000">
    <w:pPr>
      <w:pBdr>
        <w:top w:val="nil"/>
        <w:left w:val="nil"/>
        <w:bottom w:val="nil"/>
        <w:right w:val="nil"/>
        <w:between w:val="nil"/>
      </w:pBdr>
      <w:tabs>
        <w:tab w:val="center" w:pos="4536"/>
        <w:tab w:val="right" w:pos="9072"/>
        <w:tab w:val="left" w:pos="660"/>
        <w:tab w:val="center" w:pos="3543"/>
      </w:tabs>
      <w:spacing w:after="0" w:line="240" w:lineRule="auto"/>
      <w:jc w:val="right"/>
      <w:rPr>
        <w:i/>
        <w:iCs/>
        <w:color w:val="000000"/>
        <w:sz w:val="20"/>
        <w:szCs w:val="20"/>
      </w:rPr>
    </w:pPr>
    <w:r>
      <w:rPr>
        <w:i/>
        <w:iCs/>
        <w:color w:val="000000"/>
        <w:sz w:val="20"/>
        <w:szCs w:val="20"/>
      </w:rPr>
      <w:tab/>
      <w:t>International Journal of Social Sciences Dimensions</w:t>
    </w:r>
    <w:r>
      <w:rPr>
        <w:noProof/>
      </w:rPr>
      <w:drawing>
        <wp:anchor distT="0" distB="0" distL="114300" distR="114300" simplePos="0" relativeHeight="251658240" behindDoc="0" locked="0" layoutInCell="1" hidden="0" allowOverlap="1" wp14:anchorId="1D7B6BD4" wp14:editId="22E45A7E">
          <wp:simplePos x="0" y="0"/>
          <wp:positionH relativeFrom="column">
            <wp:posOffset>-1904</wp:posOffset>
          </wp:positionH>
          <wp:positionV relativeFrom="paragraph">
            <wp:posOffset>-278129</wp:posOffset>
          </wp:positionV>
          <wp:extent cx="695325" cy="771081"/>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2774" b="-8121"/>
                  <a:stretch>
                    <a:fillRect/>
                  </a:stretch>
                </pic:blipFill>
                <pic:spPr>
                  <a:xfrm>
                    <a:off x="0" y="0"/>
                    <a:ext cx="695325" cy="771081"/>
                  </a:xfrm>
                  <a:prstGeom prst="rect">
                    <a:avLst/>
                  </a:prstGeom>
                  <a:ln/>
                </pic:spPr>
              </pic:pic>
            </a:graphicData>
          </a:graphic>
        </wp:anchor>
      </w:drawing>
    </w:r>
  </w:p>
  <w:p w14:paraId="2CE4156C" w14:textId="77777777" w:rsidR="000E4EFD" w:rsidRDefault="00000000">
    <w:pPr>
      <w:pBdr>
        <w:top w:val="nil"/>
        <w:left w:val="nil"/>
        <w:bottom w:val="nil"/>
        <w:right w:val="nil"/>
        <w:between w:val="nil"/>
      </w:pBdr>
      <w:tabs>
        <w:tab w:val="center" w:pos="4536"/>
        <w:tab w:val="right" w:pos="9072"/>
        <w:tab w:val="left" w:pos="660"/>
        <w:tab w:val="center" w:pos="3543"/>
      </w:tabs>
      <w:spacing w:after="0" w:line="240" w:lineRule="auto"/>
      <w:jc w:val="right"/>
      <w:rPr>
        <w:i/>
        <w:iCs/>
        <w:color w:val="000000"/>
        <w:sz w:val="20"/>
        <w:szCs w:val="20"/>
      </w:rPr>
    </w:pPr>
    <w:r>
      <w:rPr>
        <w:i/>
        <w:iCs/>
        <w:color w:val="000000"/>
        <w:sz w:val="20"/>
        <w:szCs w:val="20"/>
      </w:rPr>
      <w:t xml:space="preserve">ISSN: xxxx - xxxx </w:t>
    </w:r>
    <w:r>
      <w:rPr>
        <w:i/>
        <w:iCs/>
        <w:color w:val="000000"/>
        <w:sz w:val="20"/>
        <w:szCs w:val="20"/>
      </w:rPr>
      <w:br/>
      <w:t>Volume: X, Issue: X, Year: 202X, pp. XX-XX</w:t>
    </w:r>
  </w:p>
  <w:p w14:paraId="4516A61A" w14:textId="77777777" w:rsidR="000E4EFD" w:rsidRDefault="000E4EFD">
    <w:pPr>
      <w:pBdr>
        <w:top w:val="nil"/>
        <w:left w:val="nil"/>
        <w:bottom w:val="nil"/>
        <w:right w:val="nil"/>
        <w:between w:val="nil"/>
      </w:pBdr>
      <w:tabs>
        <w:tab w:val="center" w:pos="4536"/>
        <w:tab w:val="right" w:pos="9072"/>
      </w:tabs>
      <w:spacing w:after="0" w:line="240" w:lineRule="auto"/>
      <w:rPr>
        <w:color w:val="000000"/>
      </w:rPr>
    </w:pPr>
  </w:p>
  <w:p w14:paraId="5CC722E2" w14:textId="77777777" w:rsidR="00460399" w:rsidRDefault="00460399">
    <w:pPr>
      <w:pBdr>
        <w:top w:val="nil"/>
        <w:left w:val="nil"/>
        <w:bottom w:val="nil"/>
        <w:right w:val="nil"/>
        <w:between w:val="nil"/>
      </w:pBdr>
      <w:tabs>
        <w:tab w:val="center" w:pos="4536"/>
        <w:tab w:val="right" w:pos="9072"/>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B2F16" w14:textId="77777777" w:rsidR="000E4EFD" w:rsidRDefault="00000000">
    <w:pPr>
      <w:pBdr>
        <w:top w:val="nil"/>
        <w:left w:val="nil"/>
        <w:bottom w:val="nil"/>
        <w:right w:val="nil"/>
        <w:between w:val="nil"/>
      </w:pBdr>
      <w:tabs>
        <w:tab w:val="center" w:pos="4536"/>
        <w:tab w:val="right" w:pos="9072"/>
        <w:tab w:val="left" w:pos="660"/>
        <w:tab w:val="center" w:pos="3543"/>
      </w:tabs>
      <w:spacing w:after="0" w:line="240" w:lineRule="auto"/>
      <w:jc w:val="right"/>
      <w:rPr>
        <w:i/>
        <w:iCs/>
        <w:color w:val="000000"/>
        <w:sz w:val="20"/>
        <w:szCs w:val="20"/>
      </w:rPr>
    </w:pPr>
    <w:r>
      <w:rPr>
        <w:i/>
        <w:iCs/>
        <w:color w:val="000000"/>
        <w:sz w:val="20"/>
        <w:szCs w:val="20"/>
      </w:rPr>
      <w:tab/>
      <w:t>International Journal of Social Sciences Dimensions</w:t>
    </w:r>
    <w:r>
      <w:rPr>
        <w:noProof/>
      </w:rPr>
      <w:drawing>
        <wp:anchor distT="0" distB="0" distL="114300" distR="114300" simplePos="0" relativeHeight="251659264" behindDoc="0" locked="0" layoutInCell="1" hidden="0" allowOverlap="1" wp14:anchorId="2D704946" wp14:editId="47B7D06E">
          <wp:simplePos x="0" y="0"/>
          <wp:positionH relativeFrom="column">
            <wp:posOffset>28576</wp:posOffset>
          </wp:positionH>
          <wp:positionV relativeFrom="paragraph">
            <wp:posOffset>-260984</wp:posOffset>
          </wp:positionV>
          <wp:extent cx="695325" cy="771081"/>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2774" b="-8121"/>
                  <a:stretch>
                    <a:fillRect/>
                  </a:stretch>
                </pic:blipFill>
                <pic:spPr>
                  <a:xfrm>
                    <a:off x="0" y="0"/>
                    <a:ext cx="695325" cy="771081"/>
                  </a:xfrm>
                  <a:prstGeom prst="rect">
                    <a:avLst/>
                  </a:prstGeom>
                  <a:ln/>
                </pic:spPr>
              </pic:pic>
            </a:graphicData>
          </a:graphic>
        </wp:anchor>
      </w:drawing>
    </w:r>
  </w:p>
  <w:p w14:paraId="0ABA52C3" w14:textId="77777777" w:rsidR="000E4EFD" w:rsidRDefault="00000000">
    <w:pPr>
      <w:pBdr>
        <w:top w:val="nil"/>
        <w:left w:val="nil"/>
        <w:bottom w:val="nil"/>
        <w:right w:val="nil"/>
        <w:between w:val="nil"/>
      </w:pBdr>
      <w:tabs>
        <w:tab w:val="center" w:pos="4536"/>
        <w:tab w:val="right" w:pos="9072"/>
        <w:tab w:val="left" w:pos="660"/>
        <w:tab w:val="center" w:pos="3543"/>
      </w:tabs>
      <w:spacing w:after="0" w:line="240" w:lineRule="auto"/>
      <w:jc w:val="right"/>
      <w:rPr>
        <w:i/>
        <w:iCs/>
        <w:color w:val="000000"/>
        <w:sz w:val="20"/>
        <w:szCs w:val="20"/>
      </w:rPr>
    </w:pPr>
    <w:r>
      <w:rPr>
        <w:i/>
        <w:iCs/>
        <w:color w:val="000000"/>
        <w:sz w:val="20"/>
        <w:szCs w:val="20"/>
      </w:rPr>
      <w:t xml:space="preserve">ISSN: xxxx - xxxx </w:t>
    </w:r>
    <w:r>
      <w:rPr>
        <w:i/>
        <w:iCs/>
        <w:color w:val="000000"/>
        <w:sz w:val="20"/>
        <w:szCs w:val="20"/>
      </w:rPr>
      <w:br/>
      <w:t>Volume: X, Issue: X, Year: 202X, pp. XX-XX</w:t>
    </w:r>
  </w:p>
  <w:p w14:paraId="2905A84E" w14:textId="77777777" w:rsidR="000E4EFD" w:rsidRDefault="000E4EFD">
    <w:pPr>
      <w:pBdr>
        <w:top w:val="nil"/>
        <w:left w:val="nil"/>
        <w:bottom w:val="nil"/>
        <w:right w:val="nil"/>
        <w:between w:val="nil"/>
      </w:pBdr>
      <w:tabs>
        <w:tab w:val="center" w:pos="4536"/>
        <w:tab w:val="right" w:pos="9072"/>
      </w:tabs>
      <w:spacing w:after="0" w:line="240" w:lineRule="auto"/>
      <w:rPr>
        <w:color w:val="000000"/>
        <w:sz w:val="20"/>
        <w:szCs w:val="20"/>
      </w:rPr>
    </w:pPr>
  </w:p>
  <w:p w14:paraId="59168B48" w14:textId="77777777" w:rsidR="000E4EFD" w:rsidRDefault="000E4EFD">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9C06DB"/>
    <w:multiLevelType w:val="hybridMultilevel"/>
    <w:tmpl w:val="84260882"/>
    <w:lvl w:ilvl="0" w:tplc="D3260A06">
      <w:start w:val="1"/>
      <w:numFmt w:val="bullet"/>
      <w:lvlText w:val=""/>
      <w:lvlJc w:val="left"/>
      <w:pPr>
        <w:ind w:left="720" w:hanging="360"/>
      </w:pPr>
      <w:rPr>
        <w:rFonts w:ascii="Symbol" w:hAnsi="Symbol"/>
      </w:rPr>
    </w:lvl>
    <w:lvl w:ilvl="1" w:tplc="DB307CF8">
      <w:start w:val="1"/>
      <w:numFmt w:val="bullet"/>
      <w:lvlText w:val=""/>
      <w:lvlJc w:val="left"/>
      <w:pPr>
        <w:ind w:left="720" w:hanging="360"/>
      </w:pPr>
      <w:rPr>
        <w:rFonts w:ascii="Symbol" w:hAnsi="Symbol"/>
      </w:rPr>
    </w:lvl>
    <w:lvl w:ilvl="2" w:tplc="A81CE83E">
      <w:start w:val="1"/>
      <w:numFmt w:val="bullet"/>
      <w:lvlText w:val=""/>
      <w:lvlJc w:val="left"/>
      <w:pPr>
        <w:ind w:left="720" w:hanging="360"/>
      </w:pPr>
      <w:rPr>
        <w:rFonts w:ascii="Symbol" w:hAnsi="Symbol"/>
      </w:rPr>
    </w:lvl>
    <w:lvl w:ilvl="3" w:tplc="28FA6992">
      <w:start w:val="1"/>
      <w:numFmt w:val="bullet"/>
      <w:lvlText w:val=""/>
      <w:lvlJc w:val="left"/>
      <w:pPr>
        <w:ind w:left="720" w:hanging="360"/>
      </w:pPr>
      <w:rPr>
        <w:rFonts w:ascii="Symbol" w:hAnsi="Symbol"/>
      </w:rPr>
    </w:lvl>
    <w:lvl w:ilvl="4" w:tplc="60DAEBD6">
      <w:start w:val="1"/>
      <w:numFmt w:val="bullet"/>
      <w:lvlText w:val=""/>
      <w:lvlJc w:val="left"/>
      <w:pPr>
        <w:ind w:left="720" w:hanging="360"/>
      </w:pPr>
      <w:rPr>
        <w:rFonts w:ascii="Symbol" w:hAnsi="Symbol"/>
      </w:rPr>
    </w:lvl>
    <w:lvl w:ilvl="5" w:tplc="F99A41F8">
      <w:start w:val="1"/>
      <w:numFmt w:val="bullet"/>
      <w:lvlText w:val=""/>
      <w:lvlJc w:val="left"/>
      <w:pPr>
        <w:ind w:left="720" w:hanging="360"/>
      </w:pPr>
      <w:rPr>
        <w:rFonts w:ascii="Symbol" w:hAnsi="Symbol"/>
      </w:rPr>
    </w:lvl>
    <w:lvl w:ilvl="6" w:tplc="3C7A6DB6">
      <w:start w:val="1"/>
      <w:numFmt w:val="bullet"/>
      <w:lvlText w:val=""/>
      <w:lvlJc w:val="left"/>
      <w:pPr>
        <w:ind w:left="720" w:hanging="360"/>
      </w:pPr>
      <w:rPr>
        <w:rFonts w:ascii="Symbol" w:hAnsi="Symbol"/>
      </w:rPr>
    </w:lvl>
    <w:lvl w:ilvl="7" w:tplc="75A4840E">
      <w:start w:val="1"/>
      <w:numFmt w:val="bullet"/>
      <w:lvlText w:val=""/>
      <w:lvlJc w:val="left"/>
      <w:pPr>
        <w:ind w:left="720" w:hanging="360"/>
      </w:pPr>
      <w:rPr>
        <w:rFonts w:ascii="Symbol" w:hAnsi="Symbol"/>
      </w:rPr>
    </w:lvl>
    <w:lvl w:ilvl="8" w:tplc="8378088A">
      <w:start w:val="1"/>
      <w:numFmt w:val="bullet"/>
      <w:lvlText w:val=""/>
      <w:lvlJc w:val="left"/>
      <w:pPr>
        <w:ind w:left="720" w:hanging="360"/>
      </w:pPr>
      <w:rPr>
        <w:rFonts w:ascii="Symbol" w:hAnsi="Symbol"/>
      </w:rPr>
    </w:lvl>
  </w:abstractNum>
  <w:abstractNum w:abstractNumId="1" w15:restartNumberingAfterBreak="0">
    <w:nsid w:val="34834DDF"/>
    <w:multiLevelType w:val="multilevel"/>
    <w:tmpl w:val="14AEBB0C"/>
    <w:lvl w:ilvl="0">
      <w:start w:val="1"/>
      <w:numFmt w:val="decimal"/>
      <w:lvlText w:val="%1."/>
      <w:lvlJc w:val="left"/>
      <w:pPr>
        <w:ind w:left="1211"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2" w15:restartNumberingAfterBreak="0">
    <w:nsid w:val="398B5811"/>
    <w:multiLevelType w:val="hybridMultilevel"/>
    <w:tmpl w:val="AD948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A12A0C"/>
    <w:multiLevelType w:val="hybridMultilevel"/>
    <w:tmpl w:val="9836BE0A"/>
    <w:lvl w:ilvl="0" w:tplc="1FE28038">
      <w:start w:val="1"/>
      <w:numFmt w:val="bullet"/>
      <w:lvlText w:val=""/>
      <w:lvlJc w:val="left"/>
      <w:pPr>
        <w:ind w:left="1080" w:hanging="360"/>
      </w:pPr>
      <w:rPr>
        <w:rFonts w:ascii="Symbol" w:hAnsi="Symbol"/>
      </w:rPr>
    </w:lvl>
    <w:lvl w:ilvl="1" w:tplc="73249D08">
      <w:start w:val="1"/>
      <w:numFmt w:val="bullet"/>
      <w:lvlText w:val=""/>
      <w:lvlJc w:val="left"/>
      <w:pPr>
        <w:ind w:left="1080" w:hanging="360"/>
      </w:pPr>
      <w:rPr>
        <w:rFonts w:ascii="Symbol" w:hAnsi="Symbol"/>
      </w:rPr>
    </w:lvl>
    <w:lvl w:ilvl="2" w:tplc="B074079E">
      <w:start w:val="1"/>
      <w:numFmt w:val="bullet"/>
      <w:lvlText w:val=""/>
      <w:lvlJc w:val="left"/>
      <w:pPr>
        <w:ind w:left="1080" w:hanging="360"/>
      </w:pPr>
      <w:rPr>
        <w:rFonts w:ascii="Symbol" w:hAnsi="Symbol"/>
      </w:rPr>
    </w:lvl>
    <w:lvl w:ilvl="3" w:tplc="8AA45CFE">
      <w:start w:val="1"/>
      <w:numFmt w:val="bullet"/>
      <w:lvlText w:val=""/>
      <w:lvlJc w:val="left"/>
      <w:pPr>
        <w:ind w:left="1080" w:hanging="360"/>
      </w:pPr>
      <w:rPr>
        <w:rFonts w:ascii="Symbol" w:hAnsi="Symbol"/>
      </w:rPr>
    </w:lvl>
    <w:lvl w:ilvl="4" w:tplc="147897D6">
      <w:start w:val="1"/>
      <w:numFmt w:val="bullet"/>
      <w:lvlText w:val=""/>
      <w:lvlJc w:val="left"/>
      <w:pPr>
        <w:ind w:left="1080" w:hanging="360"/>
      </w:pPr>
      <w:rPr>
        <w:rFonts w:ascii="Symbol" w:hAnsi="Symbol"/>
      </w:rPr>
    </w:lvl>
    <w:lvl w:ilvl="5" w:tplc="828CDCE8">
      <w:start w:val="1"/>
      <w:numFmt w:val="bullet"/>
      <w:lvlText w:val=""/>
      <w:lvlJc w:val="left"/>
      <w:pPr>
        <w:ind w:left="1080" w:hanging="360"/>
      </w:pPr>
      <w:rPr>
        <w:rFonts w:ascii="Symbol" w:hAnsi="Symbol"/>
      </w:rPr>
    </w:lvl>
    <w:lvl w:ilvl="6" w:tplc="4E7A217C">
      <w:start w:val="1"/>
      <w:numFmt w:val="bullet"/>
      <w:lvlText w:val=""/>
      <w:lvlJc w:val="left"/>
      <w:pPr>
        <w:ind w:left="1080" w:hanging="360"/>
      </w:pPr>
      <w:rPr>
        <w:rFonts w:ascii="Symbol" w:hAnsi="Symbol"/>
      </w:rPr>
    </w:lvl>
    <w:lvl w:ilvl="7" w:tplc="D8DE40EA">
      <w:start w:val="1"/>
      <w:numFmt w:val="bullet"/>
      <w:lvlText w:val=""/>
      <w:lvlJc w:val="left"/>
      <w:pPr>
        <w:ind w:left="1080" w:hanging="360"/>
      </w:pPr>
      <w:rPr>
        <w:rFonts w:ascii="Symbol" w:hAnsi="Symbol"/>
      </w:rPr>
    </w:lvl>
    <w:lvl w:ilvl="8" w:tplc="C846C056">
      <w:start w:val="1"/>
      <w:numFmt w:val="bullet"/>
      <w:lvlText w:val=""/>
      <w:lvlJc w:val="left"/>
      <w:pPr>
        <w:ind w:left="1080" w:hanging="360"/>
      </w:pPr>
      <w:rPr>
        <w:rFonts w:ascii="Symbol" w:hAnsi="Symbol"/>
      </w:rPr>
    </w:lvl>
  </w:abstractNum>
  <w:abstractNum w:abstractNumId="4" w15:restartNumberingAfterBreak="0">
    <w:nsid w:val="3EE46AD4"/>
    <w:multiLevelType w:val="hybridMultilevel"/>
    <w:tmpl w:val="1F8EDD18"/>
    <w:lvl w:ilvl="0" w:tplc="81727698">
      <w:start w:val="1"/>
      <w:numFmt w:val="bullet"/>
      <w:lvlText w:val=""/>
      <w:lvlJc w:val="left"/>
      <w:pPr>
        <w:ind w:left="720" w:hanging="360"/>
      </w:pPr>
      <w:rPr>
        <w:rFonts w:ascii="Symbol" w:hAnsi="Symbol"/>
      </w:rPr>
    </w:lvl>
    <w:lvl w:ilvl="1" w:tplc="03A04F96">
      <w:start w:val="1"/>
      <w:numFmt w:val="bullet"/>
      <w:lvlText w:val=""/>
      <w:lvlJc w:val="left"/>
      <w:pPr>
        <w:ind w:left="720" w:hanging="360"/>
      </w:pPr>
      <w:rPr>
        <w:rFonts w:ascii="Symbol" w:hAnsi="Symbol"/>
      </w:rPr>
    </w:lvl>
    <w:lvl w:ilvl="2" w:tplc="94AE7C0E">
      <w:start w:val="1"/>
      <w:numFmt w:val="bullet"/>
      <w:lvlText w:val=""/>
      <w:lvlJc w:val="left"/>
      <w:pPr>
        <w:ind w:left="720" w:hanging="360"/>
      </w:pPr>
      <w:rPr>
        <w:rFonts w:ascii="Symbol" w:hAnsi="Symbol"/>
      </w:rPr>
    </w:lvl>
    <w:lvl w:ilvl="3" w:tplc="B4046D8C">
      <w:start w:val="1"/>
      <w:numFmt w:val="bullet"/>
      <w:lvlText w:val=""/>
      <w:lvlJc w:val="left"/>
      <w:pPr>
        <w:ind w:left="720" w:hanging="360"/>
      </w:pPr>
      <w:rPr>
        <w:rFonts w:ascii="Symbol" w:hAnsi="Symbol"/>
      </w:rPr>
    </w:lvl>
    <w:lvl w:ilvl="4" w:tplc="16065104">
      <w:start w:val="1"/>
      <w:numFmt w:val="bullet"/>
      <w:lvlText w:val=""/>
      <w:lvlJc w:val="left"/>
      <w:pPr>
        <w:ind w:left="720" w:hanging="360"/>
      </w:pPr>
      <w:rPr>
        <w:rFonts w:ascii="Symbol" w:hAnsi="Symbol"/>
      </w:rPr>
    </w:lvl>
    <w:lvl w:ilvl="5" w:tplc="9042B938">
      <w:start w:val="1"/>
      <w:numFmt w:val="bullet"/>
      <w:lvlText w:val=""/>
      <w:lvlJc w:val="left"/>
      <w:pPr>
        <w:ind w:left="720" w:hanging="360"/>
      </w:pPr>
      <w:rPr>
        <w:rFonts w:ascii="Symbol" w:hAnsi="Symbol"/>
      </w:rPr>
    </w:lvl>
    <w:lvl w:ilvl="6" w:tplc="30C675C4">
      <w:start w:val="1"/>
      <w:numFmt w:val="bullet"/>
      <w:lvlText w:val=""/>
      <w:lvlJc w:val="left"/>
      <w:pPr>
        <w:ind w:left="720" w:hanging="360"/>
      </w:pPr>
      <w:rPr>
        <w:rFonts w:ascii="Symbol" w:hAnsi="Symbol"/>
      </w:rPr>
    </w:lvl>
    <w:lvl w:ilvl="7" w:tplc="583A098A">
      <w:start w:val="1"/>
      <w:numFmt w:val="bullet"/>
      <w:lvlText w:val=""/>
      <w:lvlJc w:val="left"/>
      <w:pPr>
        <w:ind w:left="720" w:hanging="360"/>
      </w:pPr>
      <w:rPr>
        <w:rFonts w:ascii="Symbol" w:hAnsi="Symbol"/>
      </w:rPr>
    </w:lvl>
    <w:lvl w:ilvl="8" w:tplc="72FA50F2">
      <w:start w:val="1"/>
      <w:numFmt w:val="bullet"/>
      <w:lvlText w:val=""/>
      <w:lvlJc w:val="left"/>
      <w:pPr>
        <w:ind w:left="720" w:hanging="360"/>
      </w:pPr>
      <w:rPr>
        <w:rFonts w:ascii="Symbol" w:hAnsi="Symbol"/>
      </w:rPr>
    </w:lvl>
  </w:abstractNum>
  <w:num w:numId="1" w16cid:durableId="909268739">
    <w:abstractNumId w:val="1"/>
  </w:num>
  <w:num w:numId="2" w16cid:durableId="93478786">
    <w:abstractNumId w:val="2"/>
  </w:num>
  <w:num w:numId="3" w16cid:durableId="363143479">
    <w:abstractNumId w:val="3"/>
  </w:num>
  <w:num w:numId="4" w16cid:durableId="1833643507">
    <w:abstractNumId w:val="0"/>
  </w:num>
  <w:num w:numId="5" w16cid:durableId="15681486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EFD"/>
    <w:rsid w:val="000E4EFD"/>
    <w:rsid w:val="00143231"/>
    <w:rsid w:val="00244ECD"/>
    <w:rsid w:val="00460399"/>
    <w:rsid w:val="0051375A"/>
    <w:rsid w:val="006448E3"/>
    <w:rsid w:val="0092527E"/>
    <w:rsid w:val="00943912"/>
    <w:rsid w:val="00986CCB"/>
    <w:rsid w:val="00AA57A6"/>
    <w:rsid w:val="00C73035"/>
    <w:rsid w:val="00CD22FB"/>
    <w:rsid w:val="00E45CD3"/>
    <w:rsid w:val="00E512F3"/>
    <w:rsid w:val="00F36D0C"/>
    <w:rsid w:val="00FB2193"/>
    <w:rsid w:val="00FE1DED"/>
    <w:rsid w:val="00FE2093"/>
    <w:rsid w:val="00FE2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64AB8F"/>
  <w15:docId w15:val="{BD38236A-D519-4C35-AA40-25A69415E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Balk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Balk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Balk4">
    <w:name w:val="heading 4"/>
    <w:basedOn w:val="Normal"/>
    <w:next w:val="Normal"/>
    <w:uiPriority w:val="9"/>
    <w:semiHidden/>
    <w:unhideWhenUsed/>
    <w:qFormat/>
    <w:pPr>
      <w:keepNext/>
      <w:keepLines/>
      <w:spacing w:before="80" w:after="40"/>
      <w:outlineLvl w:val="3"/>
    </w:pPr>
    <w:rPr>
      <w:i/>
      <w:iCs/>
      <w:color w:val="0F4761"/>
    </w:rPr>
  </w:style>
  <w:style w:type="paragraph" w:styleId="Balk5">
    <w:name w:val="heading 5"/>
    <w:basedOn w:val="Normal"/>
    <w:next w:val="Normal"/>
    <w:uiPriority w:val="9"/>
    <w:semiHidden/>
    <w:unhideWhenUsed/>
    <w:qFormat/>
    <w:pPr>
      <w:keepNext/>
      <w:keepLines/>
      <w:spacing w:before="80" w:after="40"/>
      <w:outlineLvl w:val="4"/>
    </w:pPr>
    <w:rPr>
      <w:color w:val="0F4761"/>
    </w:rPr>
  </w:style>
  <w:style w:type="paragraph" w:styleId="Balk6">
    <w:name w:val="heading 6"/>
    <w:basedOn w:val="Normal"/>
    <w:next w:val="Normal"/>
    <w:uiPriority w:val="9"/>
    <w:semiHidden/>
    <w:unhideWhenUsed/>
    <w:qFormat/>
    <w:pPr>
      <w:keepNext/>
      <w:keepLines/>
      <w:spacing w:before="40" w:after="0"/>
      <w:outlineLvl w:val="5"/>
    </w:pPr>
    <w:rPr>
      <w:i/>
      <w:iCs/>
      <w:color w:val="595959"/>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KonuBal">
    <w:name w:val="Title"/>
    <w:basedOn w:val="Normal"/>
    <w:next w:val="Normal"/>
    <w:uiPriority w:val="10"/>
    <w:qFormat/>
    <w:pPr>
      <w:spacing w:after="80" w:line="240" w:lineRule="auto"/>
    </w:pPr>
    <w:rPr>
      <w:rFonts w:ascii="Play" w:eastAsia="Play" w:hAnsi="Play" w:cs="Play"/>
      <w:sz w:val="56"/>
      <w:szCs w:val="56"/>
    </w:rPr>
  </w:style>
  <w:style w:type="paragraph" w:styleId="Altyaz">
    <w:name w:val="Subtitle"/>
    <w:basedOn w:val="Normal"/>
    <w:next w:val="Normal"/>
    <w:uiPriority w:val="11"/>
    <w:qFormat/>
    <w:rPr>
      <w:color w:val="595959"/>
      <w:sz w:val="28"/>
      <w:szCs w:val="2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 w:type="character" w:styleId="AklamaBavurusu">
    <w:name w:val="annotation reference"/>
    <w:basedOn w:val="VarsaylanParagrafYazTipi"/>
    <w:uiPriority w:val="99"/>
    <w:semiHidden/>
    <w:unhideWhenUsed/>
    <w:rsid w:val="00FE2093"/>
    <w:rPr>
      <w:sz w:val="16"/>
      <w:szCs w:val="16"/>
    </w:rPr>
  </w:style>
  <w:style w:type="paragraph" w:styleId="AklamaMetni">
    <w:name w:val="annotation text"/>
    <w:basedOn w:val="Normal"/>
    <w:link w:val="AklamaMetniChar"/>
    <w:uiPriority w:val="99"/>
    <w:unhideWhenUsed/>
    <w:rsid w:val="00FE2093"/>
    <w:pPr>
      <w:spacing w:line="240" w:lineRule="auto"/>
    </w:pPr>
    <w:rPr>
      <w:sz w:val="20"/>
      <w:szCs w:val="20"/>
    </w:rPr>
  </w:style>
  <w:style w:type="character" w:customStyle="1" w:styleId="AklamaMetniChar">
    <w:name w:val="Açıklama Metni Char"/>
    <w:basedOn w:val="VarsaylanParagrafYazTipi"/>
    <w:link w:val="AklamaMetni"/>
    <w:uiPriority w:val="99"/>
    <w:rsid w:val="00FE2093"/>
    <w:rPr>
      <w:sz w:val="20"/>
      <w:szCs w:val="20"/>
    </w:rPr>
  </w:style>
  <w:style w:type="paragraph" w:styleId="AklamaKonusu">
    <w:name w:val="annotation subject"/>
    <w:basedOn w:val="AklamaMetni"/>
    <w:next w:val="AklamaMetni"/>
    <w:link w:val="AklamaKonusuChar"/>
    <w:uiPriority w:val="99"/>
    <w:semiHidden/>
    <w:unhideWhenUsed/>
    <w:rsid w:val="00FE2093"/>
    <w:rPr>
      <w:b/>
      <w:bCs/>
    </w:rPr>
  </w:style>
  <w:style w:type="character" w:customStyle="1" w:styleId="AklamaKonusuChar">
    <w:name w:val="Açıklama Konusu Char"/>
    <w:basedOn w:val="AklamaMetniChar"/>
    <w:link w:val="AklamaKonusu"/>
    <w:uiPriority w:val="99"/>
    <w:semiHidden/>
    <w:rsid w:val="00FE2093"/>
    <w:rPr>
      <w:b/>
      <w:bCs/>
      <w:sz w:val="20"/>
      <w:szCs w:val="20"/>
    </w:rPr>
  </w:style>
  <w:style w:type="paragraph" w:styleId="AltBilgi">
    <w:name w:val="footer"/>
    <w:basedOn w:val="Normal"/>
    <w:link w:val="AltBilgiChar"/>
    <w:uiPriority w:val="99"/>
    <w:unhideWhenUsed/>
    <w:rsid w:val="00FE2093"/>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FE2093"/>
  </w:style>
  <w:style w:type="paragraph" w:styleId="ListeParagraf">
    <w:name w:val="List Paragraph"/>
    <w:basedOn w:val="Normal"/>
    <w:uiPriority w:val="34"/>
    <w:qFormat/>
    <w:rsid w:val="006448E3"/>
    <w:pPr>
      <w:ind w:left="720"/>
      <w:contextualSpacing/>
    </w:pPr>
  </w:style>
  <w:style w:type="character" w:styleId="Kpr">
    <w:name w:val="Hyperlink"/>
    <w:basedOn w:val="VarsaylanParagrafYazTipi"/>
    <w:uiPriority w:val="99"/>
    <w:unhideWhenUsed/>
    <w:rsid w:val="00E45CD3"/>
    <w:rPr>
      <w:color w:val="0000FF" w:themeColor="hyperlink"/>
      <w:u w:val="single"/>
    </w:rPr>
  </w:style>
  <w:style w:type="character" w:styleId="zmlenmeyenBahsetme">
    <w:name w:val="Unresolved Mention"/>
    <w:basedOn w:val="VarsaylanParagrafYazTipi"/>
    <w:uiPriority w:val="99"/>
    <w:semiHidden/>
    <w:unhideWhenUsed/>
    <w:rsid w:val="00E45C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comments.xml.rels><?xml version="1.0" encoding="UTF-8" standalone="yes"?>
<Relationships xmlns="http://schemas.openxmlformats.org/package/2006/relationships"><Relationship Id="rId2" Type="http://schemas.openxmlformats.org/officeDocument/2006/relationships/hyperlink" Target="https://apastyle.apa.org/style-grammar-guidelines/references/examples/journal-article-references" TargetMode="External"/><Relationship Id="rId1" Type="http://schemas.openxmlformats.org/officeDocument/2006/relationships/hyperlink" Target="https://apastyle.apa.org/style-grammar-guidelines/tables-figures/sample-tables"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mwt/8NTehv08s4CCElXCYgGdmA==">CgMxLjA4AHIhMU1wRHc3STFudzJWQTNxQllIVlBDMmVsTERhWmhlTHF2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2615</Words>
  <Characters>14909</Characters>
  <Application>Microsoft Office Word</Application>
  <DocSecurity>0</DocSecurity>
  <Lines>124</Lines>
  <Paragraphs>34</Paragraphs>
  <ScaleCrop>false</ScaleCrop>
  <Company/>
  <LinksUpToDate>false</LinksUpToDate>
  <CharactersWithSpaces>17490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Osman Barış Doğru</cp:lastModifiedBy>
  <cp:revision>2</cp:revision>
  <dcterms:created xsi:type="dcterms:W3CDTF">2026-05-05T19:49:00Z</dcterms:created>
  <dcterms:modified xsi:type="dcterms:W3CDTF">2026-05-06T11:54:00Z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6d1a9149-4dd4-40e7-9461-35a4987fbd73</vt:lpwstr>
  </property>
</Properties>
</file>